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2" w:rsidRDefault="00AE4BA7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902742" w:rsidRDefault="00AE4BA7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902742" w:rsidRDefault="00AE4BA7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2</w:t>
      </w:r>
      <w:r w:rsidR="00233606">
        <w:rPr>
          <w:rFonts w:ascii="Times New Roman" w:hAnsi="Times New Roman" w:cs="Times New Roman"/>
          <w:i/>
          <w:sz w:val="26"/>
          <w:szCs w:val="31"/>
        </w:rPr>
        <w:t>1</w:t>
      </w:r>
      <w:r>
        <w:rPr>
          <w:rFonts w:ascii="Times New Roman" w:hAnsi="Times New Roman" w:cs="Times New Roman"/>
          <w:i/>
          <w:sz w:val="26"/>
          <w:szCs w:val="31"/>
        </w:rPr>
        <w:t xml:space="preserve"> июля 2021 года № 86</w:t>
      </w:r>
    </w:p>
    <w:p w:rsidR="00902742" w:rsidRDefault="00AE4BA7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02742" w:rsidRDefault="00AE4BA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902742" w:rsidRDefault="009027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2742" w:rsidRDefault="00AE4BA7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 проекту межевания территории, ограниченной улицами Красноармейской, Полянской, Юных пионеров, внутриквартальным проездом от улицы Юных пионеров до улицы Красноармейской.</w:t>
      </w:r>
    </w:p>
    <w:p w:rsidR="00902742" w:rsidRDefault="00AE4BA7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Красноармейской, Полянской, Юных пионеров, внутриквартальным проездом от улицы Юных пионеров до улицы Красноармейской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2</w:t>
      </w:r>
      <w:r w:rsidR="00233606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июля 2021 года № 86.</w:t>
      </w:r>
    </w:p>
    <w:p w:rsidR="00335E7A" w:rsidRPr="00335E7A" w:rsidRDefault="00335E7A" w:rsidP="00335E7A">
      <w:pPr>
        <w:overflowPunct w:val="0"/>
        <w:ind w:firstLine="680"/>
        <w:jc w:val="both"/>
      </w:pPr>
      <w:r w:rsidRPr="00335E7A">
        <w:rPr>
          <w:rFonts w:ascii="Times New Roman" w:hAnsi="Times New Roman" w:cs="Times New Roman"/>
          <w:sz w:val="26"/>
          <w:szCs w:val="26"/>
        </w:rPr>
        <w:t xml:space="preserve">Проектом предусматривается: </w:t>
      </w:r>
    </w:p>
    <w:p w:rsidR="00335E7A" w:rsidRPr="00335E7A" w:rsidRDefault="00335E7A" w:rsidP="00335E7A">
      <w:pPr>
        <w:overflowPunct w:val="0"/>
        <w:ind w:firstLine="680"/>
        <w:jc w:val="both"/>
      </w:pPr>
      <w:r w:rsidRPr="00335E7A">
        <w:rPr>
          <w:rFonts w:ascii="Times New Roman" w:hAnsi="Times New Roman" w:cs="Times New Roman"/>
          <w:sz w:val="26"/>
          <w:szCs w:val="26"/>
        </w:rPr>
        <w:t xml:space="preserve">-установление красных линий по улицам Красноармейской и Юных пионеров с целью закрепления исторически сложившейся системы улично-дорожной сети; </w:t>
      </w:r>
    </w:p>
    <w:p w:rsidR="00335E7A" w:rsidRPr="00335E7A" w:rsidRDefault="00335E7A" w:rsidP="00335E7A">
      <w:pPr>
        <w:overflowPunct w:val="0"/>
        <w:ind w:firstLine="680"/>
        <w:jc w:val="both"/>
      </w:pPr>
      <w:r w:rsidRPr="00335E7A">
        <w:rPr>
          <w:rFonts w:ascii="Times New Roman" w:hAnsi="Times New Roman" w:cs="Times New Roman"/>
          <w:sz w:val="26"/>
          <w:szCs w:val="26"/>
        </w:rPr>
        <w:t xml:space="preserve">-образование 7 земельных участков по адресам: Костромская область, город </w:t>
      </w:r>
      <w:proofErr w:type="gramStart"/>
      <w:r w:rsidRPr="00335E7A">
        <w:rPr>
          <w:rFonts w:ascii="Times New Roman" w:hAnsi="Times New Roman" w:cs="Times New Roman"/>
          <w:sz w:val="26"/>
          <w:szCs w:val="26"/>
        </w:rPr>
        <w:t>Кострома,  улица</w:t>
      </w:r>
      <w:proofErr w:type="gramEnd"/>
      <w:r w:rsidRPr="00335E7A">
        <w:rPr>
          <w:rFonts w:ascii="Times New Roman" w:hAnsi="Times New Roman" w:cs="Times New Roman"/>
          <w:sz w:val="26"/>
          <w:szCs w:val="26"/>
        </w:rPr>
        <w:t xml:space="preserve"> Полянская,17, улица Красноармейская, 51, улица Юных пионеров, 28, улица Полянская,15/22, улица Полянская,15/22 литер Б, В.</w:t>
      </w:r>
    </w:p>
    <w:p w:rsidR="00902742" w:rsidRDefault="00AE4BA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902742" w:rsidRDefault="00AE4BA7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9 августа 2021 года.</w:t>
      </w:r>
    </w:p>
    <w:p w:rsidR="00902742" w:rsidRDefault="00AE4BA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слушания/по проектам планировок и межеванию территорий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0F2F2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02742" w:rsidRDefault="00AE4BA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</w:t>
      </w:r>
      <w:r w:rsidR="000F2F2F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2021 г.</w:t>
      </w:r>
    </w:p>
    <w:p w:rsidR="00902742" w:rsidRDefault="00AE4BA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902742" w:rsidRDefault="00AE4BA7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AE4BA7" w:rsidRDefault="00AE4BA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E4BA7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902742" w:rsidRDefault="00AE4BA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902742" w:rsidRDefault="00AE4BA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AE4B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0F2F2F">
        <w:rPr>
          <w:rFonts w:ascii="Times New Roman" w:hAnsi="Times New Roman" w:cs="Times New Roman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 августа по 9 августа 2021 г.:</w:t>
      </w:r>
    </w:p>
    <w:p w:rsidR="00902742" w:rsidRDefault="00AE4BA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902742" w:rsidRDefault="00AE4BA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902742" w:rsidRDefault="00AE4BA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02742" w:rsidRDefault="00902742">
      <w:pPr>
        <w:widowControl/>
        <w:ind w:firstLine="709"/>
        <w:jc w:val="both"/>
      </w:pPr>
    </w:p>
    <w:sectPr w:rsidR="0090274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2"/>
    <w:rsid w:val="000F2F2F"/>
    <w:rsid w:val="00233606"/>
    <w:rsid w:val="00335E7A"/>
    <w:rsid w:val="00902742"/>
    <w:rsid w:val="00A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A48A-9A2D-4DFB-8612-CB59A11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80">
    <w:name w:val="Основной шрифт абзаца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70">
    <w:name w:val="Основной шрифт абзаца7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">
    <w:name w:val="WW-Absatz-Standardschriftart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6">
    <w:name w:val="Ниж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7">
    <w:name w:val="Верхний колонтитул Знак"/>
    <w:basedOn w:val="a0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qFormat/>
    <w:pPr>
      <w:widowControl/>
      <w:spacing w:before="280" w:after="280"/>
    </w:pPr>
    <w:rPr>
      <w:rFonts w:ascii="Times New Roman" w:eastAsia="Calibri" w:hAnsi="Times New Roman"/>
      <w:sz w:val="24"/>
      <w:szCs w:val="24"/>
    </w:rPr>
  </w:style>
  <w:style w:type="paragraph" w:styleId="af4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customStyle="1" w:styleId="72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62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8">
    <w:name w:val="Заголовок постановления"/>
    <w:basedOn w:val="a"/>
    <w:next w:val="af7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af9">
    <w:name w:val="Содержимое врезки"/>
    <w:basedOn w:val="ae"/>
    <w:qFormat/>
  </w:style>
  <w:style w:type="paragraph" w:customStyle="1" w:styleId="ConsPlusCell">
    <w:name w:val="ConsPlusCell"/>
    <w:qFormat/>
    <w:pPr>
      <w:widowControl w:val="0"/>
      <w:suppressAutoHyphens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afb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c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d">
    <w:name w:val="Решение"/>
    <w:basedOn w:val="af7"/>
    <w:qFormat/>
    <w:pPr>
      <w:ind w:firstLine="709"/>
    </w:pPr>
    <w:rPr>
      <w:szCs w:val="26"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TOC Heading"/>
    <w:qFormat/>
    <w:pPr>
      <w:spacing w:after="200" w:line="276" w:lineRule="auto"/>
    </w:pPr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4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rPr>
      <w:rFonts w:asciiTheme="minorHAnsi" w:eastAsiaTheme="minorHAnsi" w:hAnsiTheme="minorHAns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41</cp:revision>
  <cp:lastPrinted>2021-07-21T09:35:00Z</cp:lastPrinted>
  <dcterms:created xsi:type="dcterms:W3CDTF">2020-06-17T07:09:00Z</dcterms:created>
  <dcterms:modified xsi:type="dcterms:W3CDTF">2021-07-21T09:36:00Z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