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/>
      </w:pPr>
      <w:r>
        <w:rPr>
          <w:b/>
          <w:bCs/>
          <w:sz w:val="26"/>
          <w:szCs w:val="26"/>
        </w:rPr>
        <w:t>ЗАКЛЮЧЕНИЕ О РЕЗУЛЬТАТАХ ОБЩЕСТВЕННЫХ ОБСУЖДЕНИЙ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andard"/>
        <w:shd w:val="clear" w:color="auto" w:fill="FFFFFF"/>
        <w:tabs>
          <w:tab w:val="clear" w:pos="720"/>
          <w:tab w:val="left" w:pos="852" w:leader="none"/>
        </w:tabs>
        <w:ind w:left="426" w:hanging="0"/>
        <w:rPr/>
      </w:pPr>
      <w:r>
        <w:rPr>
          <w:sz w:val="26"/>
          <w:szCs w:val="26"/>
        </w:rPr>
        <w:t>16 декабря 2020 года</w:t>
      </w:r>
    </w:p>
    <w:p>
      <w:pPr>
        <w:pStyle w:val="Normal"/>
        <w:numPr>
          <w:ilvl w:val="0"/>
          <w:numId w:val="0"/>
        </w:numPr>
        <w:shd w:val="clear" w:color="auto" w:fill="FFFFFF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/>
      </w:pPr>
      <w:r>
        <w:rPr>
          <w:bCs/>
          <w:sz w:val="26"/>
          <w:szCs w:val="26"/>
          <w:lang w:bidi="en-US"/>
        </w:rPr>
        <w:t xml:space="preserve">В общественных обсуждениях по проекту межевания территории, </w:t>
      </w:r>
      <w:r>
        <w:rPr>
          <w:sz w:val="26"/>
          <w:szCs w:val="26"/>
        </w:rPr>
        <w:t xml:space="preserve">ограниченной </w:t>
      </w:r>
      <w:r>
        <w:rPr>
          <w:rStyle w:val="Style13"/>
          <w:rFonts w:cs="Times New Roman"/>
          <w:sz w:val="26"/>
          <w:szCs w:val="26"/>
        </w:rPr>
        <w:t>улицами Калиновской, Галичской, проездом от улицы Галичской вдоль домовладений 19-11, улицей местного значения, проходящей от улицы Маршала Новикова до улицы Калиновской</w:t>
      </w:r>
      <w:r>
        <w:rPr>
          <w:sz w:val="26"/>
          <w:szCs w:val="26"/>
        </w:rPr>
        <w:t>,</w:t>
      </w:r>
      <w:r>
        <w:rPr>
          <w:bCs/>
          <w:sz w:val="26"/>
          <w:szCs w:val="26"/>
          <w:lang w:bidi="en-US"/>
        </w:rPr>
        <w:t xml:space="preserve"> приняло участие 5 человек</w:t>
      </w:r>
      <w:r>
        <w:rPr>
          <w:bCs/>
          <w:sz w:val="26"/>
          <w:szCs w:val="26"/>
          <w:lang w:eastAsia="en-US"/>
        </w:rPr>
        <w:t>.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/>
      </w:pPr>
      <w:r>
        <w:rPr>
          <w:bCs/>
          <w:sz w:val="26"/>
          <w:szCs w:val="26"/>
          <w:lang w:eastAsia="en-US"/>
        </w:rPr>
        <w:t>По результатам общественных обсуждений составлен протокол общественных обсуждений от 16 декабря</w:t>
      </w:r>
      <w:r>
        <w:rPr>
          <w:bCs/>
          <w:sz w:val="26"/>
          <w:szCs w:val="26"/>
        </w:rPr>
        <w:t xml:space="preserve"> 2020 года, на основании которого подготовлено настоящее заключение о результатах общественных обсуждений.</w:t>
      </w:r>
    </w:p>
    <w:p>
      <w:pPr>
        <w:pStyle w:val="Normal"/>
        <w:shd w:val="clear" w:color="auto" w:fill="FFFFFF"/>
        <w:ind w:firstLine="737"/>
        <w:jc w:val="both"/>
        <w:rPr/>
      </w:pPr>
      <w:r>
        <w:rPr>
          <w:sz w:val="26"/>
          <w:szCs w:val="26"/>
        </w:rPr>
        <w:t>От участников общественных обсуждений поступили следующие замечания и предложения:</w:t>
      </w:r>
    </w:p>
    <w:p>
      <w:pPr>
        <w:pStyle w:val="Standard"/>
        <w:shd w:val="clear" w:color="auto" w:fill="FFFFFF"/>
        <w:ind w:left="-57" w:firstLine="737"/>
        <w:jc w:val="both"/>
        <w:rPr/>
      </w:pPr>
      <w:r>
        <w:rPr>
          <w:color w:val="000000"/>
          <w:sz w:val="26"/>
          <w:szCs w:val="26"/>
          <w:lang w:eastAsia="ar-SA"/>
        </w:rPr>
        <w:t>от участников общественных обсуждений, постоянно проживающих в границах территории, в пределах которых проводятся общественные обсуждения замечаний и предложений не поступало;</w:t>
      </w:r>
    </w:p>
    <w:p>
      <w:pPr>
        <w:pStyle w:val="Normal"/>
        <w:keepLines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spacing w:lineRule="auto" w:line="276"/>
        <w:ind w:firstLine="737"/>
        <w:jc w:val="both"/>
        <w:outlineLvl w:val="0"/>
        <w:rPr/>
      </w:pPr>
      <w:r>
        <w:rPr>
          <w:sz w:val="26"/>
          <w:szCs w:val="26"/>
        </w:rPr>
        <w:t>от иных участников публичных слушаний:</w:t>
      </w:r>
    </w:p>
    <w:p>
      <w:pPr>
        <w:pStyle w:val="Default"/>
        <w:ind w:firstLine="709"/>
        <w:jc w:val="both"/>
        <w:rPr/>
      </w:pPr>
      <w:r>
        <w:rPr>
          <w:sz w:val="26"/>
          <w:szCs w:val="26"/>
        </w:rPr>
        <w:t>1. на Чертеже межевания:</w:t>
      </w:r>
    </w:p>
    <w:p>
      <w:pPr>
        <w:pStyle w:val="Default"/>
        <w:ind w:firstLine="709"/>
        <w:jc w:val="both"/>
        <w:rPr/>
      </w:pPr>
      <w:r>
        <w:rPr>
          <w:sz w:val="26"/>
          <w:szCs w:val="26"/>
        </w:rPr>
        <w:t>1.1. исключить территории общего пользования, относящиеся к улично-дорожной сети;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1.2. исключить границы Проекта межевания;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1.3. отразить существующие и планируемые элементы планировочной структуры;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1.4. исключить линию отступа от красной линии на земельных участках общего пользования;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>2. в текстовой части Проекта межевания: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отразить </w:t>
      </w:r>
      <w:r>
        <w:rPr>
          <w:rFonts w:eastAsia="Calibri" w:cs="Times New Roman" w:ascii="Times New Roman" w:hAnsi="Times New Roman"/>
          <w:sz w:val="26"/>
          <w:szCs w:val="26"/>
        </w:rPr>
        <w:t>сведения, предусмотренные пунктом 5 части 5 статьи 43 Градостроительного кодекса Российской Федерации;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2.2. исключить виды разрешенного использования образуемых земельных участков с учетом </w:t>
      </w:r>
      <w:r>
        <w:rPr>
          <w:rFonts w:cs="Times New Roman" w:ascii="Times New Roman" w:hAnsi="Times New Roman"/>
          <w:sz w:val="26"/>
          <w:szCs w:val="26"/>
        </w:rPr>
        <w:t>отсутствия проекта планировки указанной территории и требований, установленных подпунктом 3 пункта 5 статьи 43 Градостроительного кодекса Российской Федерации, указав соответствующую информацию в текстовой части Проекта межевания;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eastAsia="Calibri" w:cs="Times New Roman" w:ascii="Times New Roman" w:hAnsi="Times New Roman"/>
          <w:sz w:val="26"/>
          <w:szCs w:val="26"/>
        </w:rPr>
        <w:t>2.3. указать местоположение земельных участков общего пользования;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/>
      </w:pPr>
      <w:r>
        <w:rPr>
          <w:rFonts w:ascii="Times New Roman" w:hAnsi="Times New Roman"/>
          <w:sz w:val="26"/>
          <w:szCs w:val="26"/>
        </w:rPr>
        <w:t xml:space="preserve">2.4. в абзаце втором на странице 9 после слов «№ 1221» дополнить словами «и </w:t>
      </w:r>
      <w:r>
        <w:rPr>
          <w:rFonts w:eastAsia="Calibri" w:cs="Times New Roman" w:ascii="Times New Roman" w:hAnsi="Times New Roman"/>
          <w:sz w:val="26"/>
          <w:szCs w:val="26"/>
        </w:rPr>
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2.5. в способах образования земельных участков слова </w:t>
      </w:r>
      <w:r>
        <w:rPr>
          <w:rFonts w:eastAsia="Times New Roman" w:cs="Arial" w:ascii="Times New Roman" w:hAnsi="Times New Roman"/>
          <w:color w:val="auto"/>
          <w:sz w:val="26"/>
          <w:szCs w:val="26"/>
        </w:rPr>
        <w:t xml:space="preserve">«неразграниченной государственной </w:t>
      </w:r>
      <w:r>
        <w:rPr>
          <w:rFonts w:ascii="Times New Roman" w:hAnsi="Times New Roman"/>
          <w:color w:val="auto"/>
          <w:sz w:val="26"/>
          <w:szCs w:val="26"/>
        </w:rPr>
        <w:t>собственности» и «государственной собственности» заменить словами</w:t>
      </w:r>
      <w:r>
        <w:rPr>
          <w:rFonts w:ascii="Times New Roman" w:hAnsi="Times New Roman"/>
          <w:sz w:val="26"/>
          <w:szCs w:val="26"/>
        </w:rPr>
        <w:t xml:space="preserve"> «государственная собственность на которые не разграничена»;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2.6. в способе образования земельного участка с условным номером :ЗУ10 слова «в пользу земельного участка» исключить.</w:t>
      </w:r>
    </w:p>
    <w:p>
      <w:pPr>
        <w:pStyle w:val="Normal"/>
        <w:widowControl/>
        <w:ind w:firstLine="709"/>
        <w:jc w:val="both"/>
        <w:rPr>
          <w:rFonts w:eastAsia="Calibri" w:cs="Times New Roman"/>
          <w:color w:val="000000"/>
          <w:sz w:val="26"/>
          <w:szCs w:val="26"/>
          <w:lang w:eastAsia="ar-SA"/>
        </w:rPr>
      </w:pPr>
      <w:r>
        <w:rPr>
          <w:rFonts w:eastAsia="Calibri" w:cs="Times New Roman"/>
          <w:color w:val="000000"/>
          <w:sz w:val="26"/>
          <w:szCs w:val="26"/>
          <w:lang w:eastAsia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/>
      </w:pPr>
      <w:r>
        <w:rPr>
          <w:b/>
          <w:bCs/>
          <w:sz w:val="26"/>
          <w:szCs w:val="26"/>
        </w:rPr>
        <w:t>Аргументированные рекомендации</w:t>
      </w:r>
      <w:r>
        <w:rPr>
          <w:b/>
          <w:bCs/>
          <w:sz w:val="26"/>
          <w:szCs w:val="26"/>
          <w:lang w:eastAsia="en-US"/>
        </w:rPr>
        <w:t xml:space="preserve"> организатора </w:t>
      </w:r>
      <w:r>
        <w:rPr>
          <w:b/>
          <w:bCs/>
          <w:sz w:val="26"/>
          <w:szCs w:val="26"/>
          <w:lang w:eastAsia="en-US" w:bidi="en-US"/>
        </w:rPr>
        <w:t>общественных обсуждений</w:t>
      </w:r>
      <w:r>
        <w:rPr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</w:p>
    <w:tbl>
      <w:tblPr>
        <w:tblW w:w="9416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61"/>
        <w:gridCol w:w="5756"/>
        <w:gridCol w:w="2999"/>
      </w:tblGrid>
      <w:tr>
        <w:trPr>
          <w:trHeight w:val="75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518" w:firstLine="3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>
        <w:trPr>
          <w:trHeight w:val="930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ind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Чертеже межевания:</w:t>
            </w:r>
          </w:p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hanging="0"/>
              <w:jc w:val="both"/>
              <w:outlineLvl w:val="0"/>
              <w:rPr/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исключить территории общего пользования, относящиеся к улично-дорожной сети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30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исключить границы Проекта межевания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30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отразить существующие и планируемые элементы планировочной структуры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1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исключить линию отступа от красной линии на земельных участках общего пользования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2.1.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uppressAutoHyphens w:val="false"/>
              <w:ind w:left="0" w:hanging="0"/>
              <w:jc w:val="both"/>
              <w:textAlignment w:val="auto"/>
              <w:rPr/>
            </w:pPr>
            <w:r>
              <w:rPr>
                <w:rFonts w:cs="Times New Roman"/>
                <w:sz w:val="26"/>
                <w:szCs w:val="26"/>
              </w:rPr>
              <w:t>в текстовой части Проекта межевания: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отразить сведения, предусмотренные пунктом 5 части 5 статьи 43 Градостроительного кодекса Российской Федерации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2.2.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 xml:space="preserve">исключить виды разрешенного использования образуемых земельных участков с учетом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отсутствия проекта планировки указанной территории и требований, установленных подпунктом 3 пункта 5 статьи 43 Градостроительного кодекса Российской Федерации, указав соответствующую информацию в текстовой части Проекта межевания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1" w:name="__DdeLink__7185_2269407492"/>
            <w:bookmarkEnd w:id="1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48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2.3.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указать местоположение земельных участков общего пользования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2" w:name="__DdeLink__1193_19418887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2"/>
          </w:p>
        </w:tc>
      </w:tr>
      <w:tr>
        <w:trPr>
          <w:trHeight w:val="852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2.4.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в абзаце втором на странице 9 после слов «№ 1221» дополнить словами «и 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3" w:name="__DdeLink__17489_1662990129"/>
            <w:bookmarkStart w:id="4" w:name="__DdeLink__1671_2892007244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3"/>
            <w:bookmarkEnd w:id="4"/>
          </w:p>
        </w:tc>
      </w:tr>
      <w:tr>
        <w:trPr>
          <w:trHeight w:val="324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2.5.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 xml:space="preserve">в способах образования земельных участков слова </w:t>
            </w:r>
            <w:r>
              <w:rPr>
                <w:rFonts w:eastAsia="Times New Roman" w:cs="Arial" w:ascii="Times New Roman" w:hAnsi="Times New Roman"/>
                <w:color w:val="auto"/>
                <w:sz w:val="26"/>
                <w:szCs w:val="26"/>
                <w:lang w:eastAsia="ar-SA"/>
              </w:rPr>
              <w:t xml:space="preserve">«неразграниченной государственной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  <w:lang w:eastAsia="ar-SA"/>
              </w:rPr>
              <w:t>собственности» и «государственной собственности» заменить словами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 xml:space="preserve"> «государственная собственность на которые не разграничена»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414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2.6.</w:t>
            </w:r>
          </w:p>
        </w:tc>
        <w:tc>
          <w:tcPr>
            <w:tcW w:w="5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в способе образования земельного участка с условным номером :ЗУ10 слова «в пользу земельного участка» исключить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</w:tbl>
    <w:p>
      <w:pPr>
        <w:pStyle w:val="Normal"/>
        <w:shd w:val="clear" w:color="auto" w:fill="FFFFFF"/>
        <w:jc w:val="both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shd w:val="clear" w:color="auto" w:fill="FFFFFF"/>
        <w:ind w:firstLine="426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Выводы по результатам общественных обсуждений или публичных слушаний:</w:t>
      </w:r>
    </w:p>
    <w:p>
      <w:pPr>
        <w:pStyle w:val="Normal"/>
        <w:shd w:val="clear" w:color="auto" w:fill="FFFFFF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Целесообразно проект межевания территории доработать с учетом поступивших замечаний и предложений.</w:t>
      </w:r>
      <w:r>
        <w:br w:type="page"/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Председательствующий Комиссии</w:t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sz w:val="25"/>
          <w:szCs w:val="25"/>
        </w:rPr>
        <w:t>по рассмотрению документации</w:t>
      </w:r>
    </w:p>
    <w:p>
      <w:pPr>
        <w:pStyle w:val="Normal"/>
        <w:ind w:left="-57" w:hanging="0"/>
        <w:jc w:val="both"/>
        <w:rPr/>
      </w:pPr>
      <w:r>
        <w:rPr>
          <w:sz w:val="25"/>
          <w:szCs w:val="25"/>
        </w:rPr>
        <w:t>по планировке территории города Костромы                                               О. В. Воронина</w:t>
      </w:r>
    </w:p>
    <w:p>
      <w:pPr>
        <w:pStyle w:val="Normal"/>
        <w:shd w:val="clear" w:color="auto" w:fill="FFFFFF"/>
        <w:ind w:right="197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</w:rPr>
        <w:t>Заместителя начальника</w:t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</w:rPr>
        <w:t>Управления имущественных и земельных отношений</w:t>
      </w:r>
    </w:p>
    <w:p>
      <w:pPr>
        <w:pStyle w:val="Normal"/>
        <w:shd w:val="clear" w:color="auto" w:fill="FFFFFF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отдела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перспективного развития территорий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архитектуры и градостроительства</w:t>
      </w:r>
    </w:p>
    <w:p>
      <w:pPr>
        <w:pStyle w:val="Normal"/>
        <w:shd w:val="clear" w:color="auto" w:fill="FFFFFF"/>
        <w:jc w:val="both"/>
        <w:rPr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ind w:right="197" w:hanging="0"/>
        <w:jc w:val="both"/>
        <w:rPr/>
      </w:pPr>
      <w:r>
        <w:rPr>
          <w:sz w:val="26"/>
          <w:szCs w:val="26"/>
        </w:rPr>
        <w:t>В. А. Носкова</w:t>
      </w:r>
    </w:p>
    <w:p>
      <w:pPr>
        <w:pStyle w:val="Normal"/>
        <w:shd w:val="clear" w:color="auto" w:fill="FFFFFF"/>
        <w:ind w:right="197" w:hanging="0"/>
        <w:jc w:val="both"/>
        <w:rPr/>
      </w:pPr>
      <w:r>
        <w:rPr>
          <w:sz w:val="26"/>
          <w:szCs w:val="26"/>
        </w:rPr>
        <w:t>222 777 (105)</w:t>
      </w:r>
    </w:p>
    <w:sectPr>
      <w:footerReference w:type="default" r:id="rId2"/>
      <w:type w:val="nextPage"/>
      <w:pgSz w:w="11906" w:h="16838"/>
      <w:pgMar w:left="1680" w:right="850" w:header="0" w:top="719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hd w:val="clear" w:fill="FFFFFF"/>
      <w:jc w:val="center"/>
      <w:rPr/>
    </w:pPr>
    <w:r>
      <w:rPr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Standard"/>
    <w:next w:val="Standard"/>
    <w:qFormat/>
    <w:pPr>
      <w:keepNext w:val="true"/>
      <w:shd w:val="clear" w:color="auto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qFormat/>
    <w:pPr>
      <w:keepNext w:val="true"/>
      <w:shd w:val="clear" w:color="auto" w:fill="FFFFFF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 w:val="true"/>
      <w:shd w:val="clear" w:color="auto" w:fill="FFFFFF"/>
      <w:ind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basedOn w:val="Normal"/>
    <w:next w:val="Normal"/>
    <w:qFormat/>
    <w:pPr>
      <w:keepNext w:val="true"/>
      <w:widowControl w:val="false"/>
      <w:shd w:val="clear" w:color="auto" w:fill="FFFFFF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11" w:customStyle="1">
    <w:name w:val="Основной шрифт абзаца1"/>
    <w:qFormat/>
    <w:rPr/>
  </w:style>
  <w:style w:type="character" w:styleId="Style7">
    <w:name w:val="Выделение"/>
    <w:qFormat/>
    <w:rPr>
      <w:i/>
      <w:iCs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Style8" w:customStyle="1">
    <w:name w:val="Символ нумерации"/>
    <w:qFormat/>
    <w:rPr/>
  </w:style>
  <w:style w:type="character" w:styleId="Style9" w:customStyle="1">
    <w:name w:val="Маркеры списка"/>
    <w:qFormat/>
    <w:rPr>
      <w:rFonts w:ascii="OpenSymbol" w:hAnsi="OpenSymbol" w:eastAsia="OpenSymbol"/>
    </w:rPr>
  </w:style>
  <w:style w:type="character" w:styleId="Style10" w:customStyle="1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styleId="51" w:customStyle="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styleId="Style11" w:customStyle="1">
    <w:name w:val="Верхний колонтитул Знак"/>
    <w:qFormat/>
    <w:rPr>
      <w:sz w:val="24"/>
      <w:szCs w:val="24"/>
      <w:lang w:eastAsia="ar-SA"/>
    </w:rPr>
  </w:style>
  <w:style w:type="character" w:styleId="Style12" w:customStyle="1">
    <w:name w:val="Нижний колонтитул Знак"/>
    <w:qFormat/>
    <w:rPr>
      <w:sz w:val="24"/>
      <w:szCs w:val="24"/>
      <w:lang w:eastAsia="ar-SA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hd w:val="clear" w:color="auto" w:fill="FFFFFF"/>
      <w:spacing w:lineRule="auto" w:line="276" w:before="0" w:after="140"/>
    </w:pPr>
    <w:rPr/>
  </w:style>
  <w:style w:type="paragraph" w:styleId="Style16">
    <w:name w:val="List"/>
    <w:basedOn w:val="Textbody"/>
    <w:pPr>
      <w:shd w:val="clear" w:fill="FFFFFF"/>
    </w:pPr>
    <w:rPr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next w:val="Style15"/>
    <w:uiPriority w:val="10"/>
    <w:qFormat/>
    <w:pPr>
      <w:widowControl/>
      <w:bidi w:val="0"/>
      <w:spacing w:before="300" w:after="20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48"/>
      <w:szCs w:val="48"/>
      <w:lang w:val="ru-RU" w:eastAsia="en-US" w:bidi="en-US"/>
    </w:rPr>
  </w:style>
  <w:style w:type="paragraph" w:styleId="Caption">
    <w:name w:val="caption"/>
    <w:basedOn w:val="Standard"/>
    <w:qFormat/>
    <w:pPr>
      <w:shd w:val="clear" w:color="auto" w:fill="FFFFFF"/>
      <w:spacing w:before="120" w:after="120"/>
    </w:pPr>
    <w:rPr>
      <w:i/>
      <w:iCs/>
      <w:sz w:val="24"/>
    </w:rPr>
  </w:style>
  <w:style w:type="paragraph" w:styleId="Indexheading">
    <w:name w:val="index heading"/>
    <w:basedOn w:val="Standard"/>
    <w:qFormat/>
    <w:pPr>
      <w:shd w:val="clear" w:color="auto" w:fill="FFFFFF"/>
    </w:pPr>
    <w:rPr>
      <w:sz w:val="24"/>
    </w:rPr>
  </w:style>
  <w:style w:type="paragraph" w:styleId="ListParagraph">
    <w:name w:val="List Paragraph"/>
    <w:basedOn w:val="Normal"/>
    <w:qFormat/>
    <w:pPr>
      <w:shd w:val="clear" w:color="auto" w:fill="FFFFFF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Style20">
    <w:name w:val="Subtitle"/>
    <w:basedOn w:val="Style23"/>
    <w:next w:val="Textbody"/>
    <w:qFormat/>
    <w:pPr>
      <w:shd w:val="clear" w:fill="FFFFFF"/>
      <w:jc w:val="center"/>
    </w:pPr>
    <w:rPr>
      <w:i/>
      <w:iCs/>
    </w:rPr>
  </w:style>
  <w:style w:type="paragraph" w:styleId="Quote">
    <w:name w:val="Quote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lang w:val="ru-RU" w:eastAsia="en-US" w:bidi="en-US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lang w:val="ru-RU" w:eastAsia="en-US" w:bidi="en-US"/>
    </w:rPr>
  </w:style>
  <w:style w:type="paragraph" w:styleId="Style21">
    <w:name w:val="Footnote Text"/>
    <w:uiPriority w:val="99"/>
    <w:semiHidden/>
    <w:unhideWhenUsed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U" w:customStyle="1">
    <w:name w:val="u"/>
    <w:basedOn w:val="Normal"/>
    <w:qFormat/>
    <w:pPr>
      <w:shd w:val="clear" w:color="auto" w:fill="FFFFFF"/>
      <w:ind w:firstLine="260"/>
      <w:jc w:val="both"/>
    </w:pPr>
    <w:rPr>
      <w:lang w:eastAsia="ru-RU"/>
    </w:rPr>
  </w:style>
  <w:style w:type="paragraph" w:styleId="Style22" w:customStyle="1">
    <w:name w:val="Содержимое таблицы"/>
    <w:basedOn w:val="Standard"/>
    <w:qFormat/>
    <w:pPr>
      <w:shd w:val="clear" w:color="auto" w:fill="FFFFFF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1"/>
      <w:szCs w:val="24"/>
      <w:lang w:val="ru-RU" w:eastAsia="ru-RU" w:bidi="ar-SA"/>
    </w:rPr>
  </w:style>
  <w:style w:type="paragraph" w:styleId="Style23" w:customStyle="1">
    <w:name w:val="Заголовок;Название"/>
    <w:basedOn w:val="Standard"/>
    <w:next w:val="Textbody"/>
    <w:qFormat/>
    <w:pPr>
      <w:keepNext w:val="true"/>
      <w:shd w:val="clear" w:color="auto" w:fill="FFFFFF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hd w:val="clear" w:color="auto" w:fill="FFFFFF"/>
      <w:spacing w:before="0" w:after="120"/>
    </w:pPr>
    <w:rPr/>
  </w:style>
  <w:style w:type="paragraph" w:styleId="ConsPlusTitle" w:customStyle="1">
    <w:name w:val="ConsPlusTitle"/>
    <w:qFormat/>
    <w:pPr>
      <w:widowControl/>
      <w:bidi w:val="0"/>
      <w:spacing w:before="0" w:after="0"/>
      <w:jc w:val="left"/>
    </w:pPr>
    <w:rPr>
      <w:rFonts w:ascii="Arial" w:hAnsi="Arial" w:eastAsia="Arial" w:cs="Times New Roman"/>
      <w:b/>
      <w:bCs/>
      <w:color w:val="auto"/>
      <w:kern w:val="0"/>
      <w:sz w:val="24"/>
      <w:szCs w:val="22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2"/>
      <w:lang w:val="ru-RU" w:eastAsia="ru-RU" w:bidi="ar-SA"/>
    </w:rPr>
  </w:style>
  <w:style w:type="paragraph" w:styleId="NormalWeb">
    <w:name w:val="Normal (Web)"/>
    <w:basedOn w:val="Standard"/>
    <w:qFormat/>
    <w:pPr>
      <w:shd w:val="clear" w:color="auto" w:fill="FFFFFF"/>
      <w:spacing w:before="20" w:after="20"/>
      <w:ind w:firstLine="100"/>
      <w:jc w:val="both"/>
    </w:pPr>
    <w:rPr>
      <w:rFonts w:ascii="Arial" w:hAnsi="Arial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>
      <w:shd w:val="clear" w:color="auto" w:fill="FFFFFF"/>
    </w:pPr>
    <w:rPr/>
  </w:style>
  <w:style w:type="paragraph" w:styleId="Style25">
    <w:name w:val="Header"/>
    <w:basedOn w:val="Normal"/>
    <w:pPr>
      <w:shd w:val="clear" w:color="auto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shd w:val="clear" w:color="auto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 w:customStyle="1">
    <w:name w:val="Заголовок таблицы"/>
    <w:basedOn w:val="Style22"/>
    <w:qFormat/>
    <w:pPr>
      <w:shd w:val="clear" w:fill="FFFFFF"/>
      <w:jc w:val="center"/>
    </w:pPr>
    <w:rPr>
      <w:b/>
      <w:bCs/>
    </w:rPr>
  </w:style>
  <w:style w:type="paragraph" w:styleId="ConsPlusCell" w:customStyle="1">
    <w:name w:val="ConsPlusCell"/>
    <w:qFormat/>
    <w:pPr>
      <w:widowControl w:val="fals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4"/>
      <w:szCs w:val="22"/>
      <w:lang w:val="ru-RU" w:eastAsia="ar-SA" w:bidi="ar-SA"/>
    </w:rPr>
  </w:style>
  <w:style w:type="paragraph" w:styleId="ConsPlusNonformat" w:customStyle="1">
    <w:name w:val="ConsPlusNonformat"/>
    <w:qFormat/>
    <w:pPr>
      <w:widowControl/>
      <w:bidi w:val="0"/>
      <w:spacing w:before="0" w:after="0"/>
      <w:jc w:val="left"/>
    </w:pPr>
    <w:rPr>
      <w:rFonts w:ascii="Courier New" w:hAnsi="Courier New" w:eastAsia="Arial" w:cs="Times New Roman"/>
      <w:color w:val="auto"/>
      <w:kern w:val="0"/>
      <w:sz w:val="24"/>
      <w:szCs w:val="22"/>
      <w:lang w:val="ru-RU" w:eastAsia="ar-SA" w:bidi="ar-SA"/>
    </w:rPr>
  </w:style>
  <w:style w:type="paragraph" w:styleId="BalloonText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</w:style>
  <w:style w:type="table" w:customStyle="1" w:styleId="TableGridLight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13">
    <w:name w:val="Table Grid 1"/>
    <w:basedOn w:val="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 LibreOffice_project/60da17e045e08f1793c57c00ba83cdfce946d0aa</Application>
  <Pages>4</Pages>
  <Words>570</Words>
  <Characters>4268</Characters>
  <CharactersWithSpaces>4935</CharactersWithSpaces>
  <Paragraphs>71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2020-11-18T13:57:00Z</dcterms:created>
  <dc:creator>Сахарова Наталья Александровна</dc:creator>
  <dc:description/>
  <dc:language>ru-RU</dc:language>
  <cp:lastModifiedBy/>
  <cp:lastPrinted>2020-12-18T10:24:20Z</cp:lastPrinted>
  <dcterms:modified xsi:type="dcterms:W3CDTF">2020-12-18T10:20:07Z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