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/>
      </w:pPr>
      <w:r>
        <w:rPr>
          <w:b/>
          <w:bCs/>
          <w:sz w:val="26"/>
          <w:szCs w:val="26"/>
        </w:rPr>
        <w:t>ЗАКЛЮЧЕНИЕ О РЕЗУЛЬТАТАХ ОБЩЕСТВЕННЫХ ОБСУЖДЕНИЙ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andard"/>
        <w:shd w:val="clear" w:color="auto" w:fill="FFFFFF"/>
        <w:tabs>
          <w:tab w:val="clear" w:pos="720"/>
          <w:tab w:val="left" w:pos="852" w:leader="none"/>
        </w:tabs>
        <w:ind w:left="426" w:hanging="0"/>
        <w:rPr/>
      </w:pPr>
      <w:r>
        <w:rPr>
          <w:sz w:val="26"/>
          <w:szCs w:val="26"/>
        </w:rPr>
        <w:t>16 декабря 2020 года</w:t>
      </w:r>
    </w:p>
    <w:p>
      <w:pPr>
        <w:pStyle w:val="Normal"/>
        <w:numPr>
          <w:ilvl w:val="0"/>
          <w:numId w:val="0"/>
        </w:numPr>
        <w:shd w:val="clear" w:color="auto" w:fill="FFFFFF"/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37"/>
        <w:jc w:val="both"/>
        <w:outlineLvl w:val="0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bidi="en-US"/>
        </w:rPr>
        <w:t xml:space="preserve">В общественных обсуждениях по проекту межевания территории, </w:t>
      </w:r>
      <w:r>
        <w:rPr>
          <w:sz w:val="26"/>
          <w:szCs w:val="26"/>
        </w:rPr>
        <w:t>ограниченной улицами Профсоюзной, Индустриальной, Долгая поляна, Маршала Устинова,</w:t>
      </w:r>
      <w:r>
        <w:rPr>
          <w:bCs/>
          <w:sz w:val="26"/>
          <w:szCs w:val="26"/>
          <w:lang w:bidi="en-US"/>
        </w:rPr>
        <w:t xml:space="preserve"> приняло участие 8 человек</w:t>
      </w:r>
      <w:r>
        <w:rPr>
          <w:bCs/>
          <w:sz w:val="26"/>
          <w:szCs w:val="26"/>
          <w:lang w:eastAsia="en-US"/>
        </w:rPr>
        <w:t>.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hd w:val="clear" w:color="auto" w:fill="FFFFFF"/>
        <w:ind w:firstLine="737"/>
        <w:jc w:val="both"/>
        <w:outlineLvl w:val="0"/>
        <w:rPr/>
      </w:pPr>
      <w:r>
        <w:rPr>
          <w:bCs/>
          <w:sz w:val="26"/>
          <w:szCs w:val="26"/>
          <w:lang w:eastAsia="en-US"/>
        </w:rPr>
        <w:t>По результатам общественных обсуждений составлен протокол общественных обсуждений от 16 декабря</w:t>
      </w:r>
      <w:r>
        <w:rPr>
          <w:bCs/>
          <w:sz w:val="26"/>
          <w:szCs w:val="26"/>
        </w:rPr>
        <w:t xml:space="preserve"> 2020 года, на основании которого подготовлено настоящее заключение о результатах общественных обсуждений.</w:t>
      </w:r>
    </w:p>
    <w:p>
      <w:pPr>
        <w:pStyle w:val="Normal"/>
        <w:shd w:val="clear" w:color="auto" w:fill="FFFFFF"/>
        <w:ind w:firstLine="737"/>
        <w:jc w:val="both"/>
        <w:rPr/>
      </w:pPr>
      <w:r>
        <w:rPr>
          <w:sz w:val="26"/>
          <w:szCs w:val="26"/>
        </w:rPr>
        <w:t>От участников общественных обсуждений поступили следующие замечания и предложения:</w:t>
      </w:r>
    </w:p>
    <w:p>
      <w:pPr>
        <w:pStyle w:val="Standard"/>
        <w:shd w:val="clear" w:color="auto" w:fill="FFFFFF"/>
        <w:ind w:left="-57" w:firstLine="737"/>
        <w:jc w:val="both"/>
        <w:rPr/>
      </w:pPr>
      <w:r>
        <w:rPr>
          <w:color w:val="000000"/>
          <w:sz w:val="26"/>
          <w:szCs w:val="26"/>
          <w:lang w:eastAsia="ar-SA"/>
        </w:rPr>
        <w:t>от участников общественных обсуждений, постоянно проживающих в границах территории, в пределах которых проводятся общественные обсуждения: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1. часть территории, расположенной напротив подъезда № 1 дома № 22 (которая по проекту межевания отходит дому № 30) оставить за подъездом дома № 22 (Мальцев С. А.);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2. установить пределы участка по точкам 237, 248, 265, н54, н55 и 229, которая соединяется с точкой 237 (Шуенкова Л. В.);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3. по участку :ЗУ18(0) учесть, что в 2021 году по программе благоустройства придомовых территорий у дома № 22 будет производиться асфальтирование дороги. Часть дороги попадает на территорию возможного межевания дома № 30. На этом месте планируется размещение парковки  (Шуенкова Л. В.);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4. на участке с торца 1 подъезда от школы № 25, вдоль дома внести изменение о выделении тротуара общего пользования (Левичева Ж. Д.);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5. по красной линии, вдоль дома № 30 со стороны улицы Маршала Устинова, границу сохранить 10 метров от многоквартирного дома (Левичева Ж. Д.);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6. с торца 4 подъезда со стороны улицы Маршала Устинова точку н288 по красной линии перенести за линию мест общего пользования-тротуар, ведущий с остановки к домам  (Левичева Ж. Д.);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7. границу от дома № 24 сохранить на расстоянии 10 местров  (Левичева Ж. Д.);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8. с двух сторон по красной линии участка :ЗУ18(2) от точки н264 сделать корректировку по фактическому использованию ( закругленный участок-поворот к дому № 24)  (Левичева Ж. Д.);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9. при выделении тротуара со стороны торца 1 подъезда откорректировать участок по фактическому использованию без учета общего канализационного колодца, идущего по линии от 25 школы  (Левичева Ж. Д.);</w:t>
      </w:r>
    </w:p>
    <w:p>
      <w:pPr>
        <w:pStyle w:val="Normal"/>
        <w:shd w:val="clear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  <w:t>10. точку н55, находящуюся на соеденении с н54 перенести ближе к дому ( за кан.камеру)  (Левичева Ж. Д.);</w:t>
      </w:r>
    </w:p>
    <w:p>
      <w:pPr>
        <w:pStyle w:val="Normal"/>
        <w:shd w:val="clear" w:color="auto" w:fill="FFFFFF"/>
        <w:tabs>
          <w:tab w:val="clear" w:pos="720"/>
        </w:tabs>
        <w:spacing w:lineRule="auto" w:line="276"/>
        <w:ind w:left="-57" w:firstLine="737"/>
        <w:jc w:val="both"/>
        <w:rPr/>
      </w:pPr>
      <w:r>
        <w:rPr>
          <w:rFonts w:cs="Times New Roman"/>
          <w:color w:val="000000"/>
          <w:sz w:val="26"/>
          <w:szCs w:val="26"/>
          <w:lang w:eastAsia="ar-SA"/>
        </w:rPr>
        <w:t>11. сохранить со стороны двора все обозначенные газоны вдоль участка :ЗУ18(2), обозначенные в «Костромаоблкадастр», а также исключить нанесение «газон» со стороны 1 подъезда (Левичева Ж. Д.).</w:t>
      </w:r>
    </w:p>
    <w:p>
      <w:pPr>
        <w:pStyle w:val="Normal"/>
        <w:shd w:val="clear" w:color="auto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</w:r>
    </w:p>
    <w:p>
      <w:pPr>
        <w:pStyle w:val="Normal"/>
        <w:shd w:val="clear" w:color="auto" w:fill="FFFFFF"/>
        <w:tabs>
          <w:tab w:val="clear" w:pos="720"/>
        </w:tabs>
        <w:spacing w:lineRule="auto" w:line="276"/>
        <w:ind w:left="-57" w:firstLine="73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cs="Times New Roman"/>
          <w:color w:val="000000"/>
          <w:sz w:val="26"/>
          <w:szCs w:val="26"/>
          <w:lang w:eastAsia="ar-SA"/>
        </w:rPr>
      </w:r>
    </w:p>
    <w:p>
      <w:pPr>
        <w:pStyle w:val="Normal"/>
        <w:keepLines/>
        <w:numPr>
          <w:ilvl w:val="0"/>
          <w:numId w:val="0"/>
        </w:numPr>
        <w:shd w:val="clear" w:color="auto" w:fill="FFFFFF"/>
        <w:tabs>
          <w:tab w:val="clear" w:pos="720"/>
          <w:tab w:val="left" w:pos="570" w:leader="none"/>
        </w:tabs>
        <w:spacing w:lineRule="auto" w:line="276"/>
        <w:ind w:firstLine="737"/>
        <w:jc w:val="both"/>
        <w:outlineLvl w:val="0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иных участников публичных слушаний: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 на Чертеже межевания: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1.1. установить красную линию по улице Долгая поляна: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в районе дома 16 по улице Индустриальной по границе земельного участка с кадастровым номером 44:27:070302:38, исключив образование земельного участка с условным номером :ЗУ1;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в точках 5-6 в створе точки 4;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в районе земельного участка с кадастровым номером 44:27:070302:31 с учетом входных групп здания, расположенного к границах данного земельного участка;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1.2. земельный участок с кадастровым номером 44:27:070302:3464, включить в состав земельного участка с условным номером :ЗУ44 в связи с расположением в границах земельного участка с кадастровым номером 44:27:070302:3464 нестационарного торгового объекта, под которым не требуется образование земельного участка;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1.3. границу земельного участка с условным номером :ЗУ2 в точках н4-н5 установить с учетом соблюдения ширины проезда между участками 3,5 метра;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1.4.сформировать земельные участки с условными номерами :ЗУ5, :ЗУ6, :ЗУ7, :ЗУ8 с учетом соблюдения нормативов до детской площадки, предусмотрев образование 3-х земельных участков вместо 4-х;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1.5. установить границу земельных участков с условными номерами :ЗУ2 и :ЗУ3 в точках н8-12 в створе границы земельного участка с условным номером :ЗУ4 по точкам н17-н18;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1.6. образование земельного участка с условным номером :ЗУ2 предусмотреть из земель, государственная собственность на которые не разграничена, с предварительным снятием с учета земельного участка с кадастровым номером 44:27:070302:2;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1.7. исключить образование земельных участков с условными номерами :ЗУ14 и :ЗУ16, сохранив земельные участки с кадастровыми номерами 44:27:070302:2902 и  44:27:070302:2903 в исходных границах;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1.8. образование земельных участков с условными номерами :ЗУ29-:ЗУ40 осуществить с учетом соблюдения нормативов градостроительного проектирования в части разрывов до существующих объектов;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1.9. откорректировать границу земельного участка с кадастровым номером 4:27:070302:2905, присоединив к нему часть территории образуемого земельного участка с условным номером :ЗУ45, с учетом необходимости размещения в границах земельного участка многоквартирного дома требуемых элементов благоустройства;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1.10. земельный участок с условным номером :ЗУ47 заштриховать в соответствии с условными обозначениями для земельных участков общего пользования;</w:t>
      </w:r>
    </w:p>
    <w:p>
      <w:pPr>
        <w:pStyle w:val="Defaul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1.11. исключить территории, отнесенные к улично-дорожной сети;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1.12. исключить границы Проекта межевания;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1.13. отразить существующие элементы планировочной структуры;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1.14. исключить линию отступа от красной линии на земельных участках общего пользования;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1.15. на земельном участке с кадастровым номером 4:27:070302:7 установить 6-метровую линию отступа от красной линии с учетом Правил землепользования и застройки города Костромы;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в текстовой части Проекта межевания: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 xml:space="preserve">отразить </w:t>
      </w:r>
      <w:r>
        <w:rPr>
          <w:rFonts w:eastAsia="Calibri" w:cs="Times New Roman" w:ascii="Times New Roman" w:hAnsi="Times New Roman"/>
          <w:sz w:val="26"/>
          <w:szCs w:val="26"/>
        </w:rPr>
        <w:t>сведения, предусмотренные пунктом 5 части 5 статьи 43 Градостроительного кодекса Российской Федерации;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2.2. указать местоположение земельных участков общего пользования;</w:t>
      </w:r>
    </w:p>
    <w:p>
      <w:pPr>
        <w:pStyle w:val="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2.3. в абзаце третьем на странице 15 после слов «№ 1221» дополнить словами «и </w:t>
      </w:r>
      <w:r>
        <w:rPr>
          <w:rFonts w:eastAsia="Calibri" w:cs="Times New Roman"/>
          <w:sz w:val="26"/>
          <w:szCs w:val="26"/>
        </w:rPr>
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248»;</w:t>
      </w:r>
    </w:p>
    <w:p>
      <w:pPr>
        <w:pStyle w:val="ListParagraph"/>
        <w:shd w:val="clear" w:color="auto" w:fill="auto"/>
        <w:suppressAutoHyphens w:val="false"/>
        <w:ind w:left="0" w:firstLine="72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2.4. в способах образования земельных участков слова «государственной собственности до её разграничения» и «находящихся в государственной или муниципальной собственности» заменить словами «государственная собственность на которые не разграничена»;</w:t>
      </w:r>
    </w:p>
    <w:p>
      <w:pPr>
        <w:pStyle w:val="ListParagraph"/>
        <w:numPr>
          <w:ilvl w:val="0"/>
          <w:numId w:val="0"/>
        </w:numPr>
        <w:shd w:val="clear" w:color="auto" w:fill="auto"/>
        <w:tabs>
          <w:tab w:val="clear" w:pos="720"/>
          <w:tab w:val="left" w:pos="570" w:leader="none"/>
        </w:tabs>
        <w:suppressAutoHyphens w:val="false"/>
        <w:spacing w:lineRule="auto" w:line="276"/>
        <w:ind w:left="0" w:firstLine="720"/>
        <w:jc w:val="both"/>
        <w:textAlignment w:val="auto"/>
        <w:outlineLvl w:val="0"/>
        <w:rPr/>
      </w:pPr>
      <w:r>
        <w:rPr>
          <w:rFonts w:eastAsia="Calibri" w:cs="Times New Roman" w:ascii="Times New Roman" w:hAnsi="Times New Roman"/>
          <w:color w:val="000000"/>
          <w:sz w:val="26"/>
          <w:szCs w:val="26"/>
          <w:lang w:eastAsia="ar-SA"/>
        </w:rPr>
        <w:t>2.5. привести Проект межевания в соответствие с Инструкцией по делопроизводству Администрации города Костромы.</w:t>
      </w:r>
    </w:p>
    <w:p>
      <w:pPr>
        <w:pStyle w:val="Normal"/>
        <w:numPr>
          <w:ilvl w:val="0"/>
          <w:numId w:val="0"/>
        </w:numPr>
        <w:shd w:val="clear" w:color="auto" w:fill="FFFFFF"/>
        <w:ind w:firstLine="737"/>
        <w:jc w:val="both"/>
        <w:outlineLvl w:val="0"/>
        <w:rPr/>
      </w:pPr>
      <w:r>
        <w:rPr>
          <w:b/>
          <w:bCs/>
          <w:sz w:val="26"/>
          <w:szCs w:val="26"/>
        </w:rPr>
        <w:t>Аргументированные рекомендации</w:t>
      </w:r>
      <w:r>
        <w:rPr>
          <w:b/>
          <w:bCs/>
          <w:sz w:val="26"/>
          <w:szCs w:val="26"/>
          <w:lang w:eastAsia="en-US"/>
        </w:rPr>
        <w:t xml:space="preserve"> организатора </w:t>
      </w:r>
      <w:r>
        <w:rPr>
          <w:b/>
          <w:bCs/>
          <w:sz w:val="26"/>
          <w:szCs w:val="26"/>
          <w:lang w:eastAsia="en-US" w:bidi="en-US"/>
        </w:rPr>
        <w:t>общественных обсуждений</w:t>
      </w:r>
      <w:r>
        <w:rPr>
          <w:b/>
          <w:bCs/>
          <w:sz w:val="26"/>
          <w:szCs w:val="26"/>
          <w:lang w:eastAsia="en-US"/>
        </w:rPr>
        <w:t xml:space="preserve"> по предложениям и замечаниям от участников общественных обсуждений: </w:t>
      </w:r>
    </w:p>
    <w:tbl>
      <w:tblPr>
        <w:tblW w:w="9416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62"/>
        <w:gridCol w:w="5755"/>
        <w:gridCol w:w="2999"/>
      </w:tblGrid>
      <w:tr>
        <w:trPr>
          <w:trHeight w:val="75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firstLine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518" w:firstLine="35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предложения (замечания)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hang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Рекомендации организатора</w:t>
            </w:r>
          </w:p>
        </w:tc>
      </w:tr>
      <w:tr>
        <w:trPr>
          <w:trHeight w:val="93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часть территории, расположенной напротив подъезда № 1 дома № 22 (которая по проекту межевания отходит дому № 30) оставить за подъездом дома №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hanging="0"/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 w:eastAsia="en-US"/>
              </w:rPr>
              <w:t>Не целесообразно учитывать предложение, в связи с недостаточностью площади земельного участка под многоквартирным домом № 30 в мкр-не Давыдовский 1</w:t>
            </w:r>
          </w:p>
        </w:tc>
      </w:tr>
      <w:tr>
        <w:trPr>
          <w:trHeight w:val="93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установить пределы участка по точкам 237, 248, 265, н54, н55 и 229, которая соединяется с точкой 237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Не целесообразно учитывать, так как формирование земельных участков не должно приводить к необоснованной чресполосице между границами земельных участков :ЗУ19 и 44:27:070302:2916(4), </w:t>
            </w:r>
            <w:r>
              <w:rPr>
                <w:sz w:val="26"/>
                <w:szCs w:val="26"/>
                <w:lang w:eastAsia="en-US"/>
              </w:rPr>
              <w:t>а также к невозможности обеспечения доступа на земельный участок :ЗУ19 с земель общего пользования, в частности с :ЗУ51. Корректировка границ по точкам н55-229 не целесообразна в связи с недостаточностью площади земельного участка под многоквартирным домом № 30 в мкр-не Давыдовский 1</w:t>
            </w:r>
          </w:p>
        </w:tc>
      </w:tr>
      <w:tr>
        <w:trPr>
          <w:trHeight w:val="30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36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fill="FFFFFF"/>
              <w:tabs>
                <w:tab w:val="clear" w:pos="720"/>
              </w:tabs>
              <w:spacing w:lineRule="auto" w:line="276"/>
              <w:ind w:left="-57" w:hang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по участку :ЗУ18(0) учесть, что в 2021 году по программе благоустройства придомовых территорий у дома № 22 будет производиться асфальтирование дороги. Часть дороги попадает на территорию возможного межевания дома № 30. На этом месте планируется размещение парковки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Не целесообразно учитывать, </w:t>
            </w:r>
            <w:r>
              <w:rPr>
                <w:sz w:val="26"/>
                <w:szCs w:val="26"/>
                <w:lang w:val="ru-RU" w:eastAsia="en-US"/>
              </w:rPr>
              <w:t xml:space="preserve"> в связи с недостаточностью площади земельного участка под многоквартирным домом № 30 в мкр-не Давыдовский 1</w:t>
            </w:r>
          </w:p>
        </w:tc>
      </w:tr>
      <w:tr>
        <w:trPr>
          <w:trHeight w:val="101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на участке с торца 1 подъезда от школы № 25, вдоль дома внести изменение о выделении тротуара общего пользования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целесообразно учитывать предложение, в связи   недостаточностью площади земельного участка, а также существующая пешеходная дорожка, не включенная в границы красных линий, не является основанием для исключения ее из границ домовладения</w:t>
            </w:r>
          </w:p>
        </w:tc>
      </w:tr>
      <w:tr>
        <w:trPr>
          <w:trHeight w:val="1414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5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по красной линии, вдоль дома № 30 со стороны улицы Маршала Устинова, границу сохранить 10 метров от многоквартирного дома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Не целесообразно учитывать, </w:t>
            </w:r>
            <w:r>
              <w:rPr>
                <w:sz w:val="26"/>
                <w:szCs w:val="26"/>
                <w:lang w:eastAsia="en-US"/>
              </w:rPr>
              <w:t>так как красная линия построен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 в створе земельного участка с кадастровым номером 44:27:</w:t>
            </w:r>
            <w:r>
              <w:rPr>
                <w:sz w:val="26"/>
                <w:szCs w:val="26"/>
                <w:lang w:eastAsia="en-US"/>
              </w:rPr>
              <w:t>070302:7</w:t>
            </w:r>
          </w:p>
        </w:tc>
      </w:tr>
      <w:tr>
        <w:trPr>
          <w:trHeight w:val="1414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6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с торца 4 подъезда со стороны улицы Маршала Устинова точку н288 по красной линии перенести за линию мест общего пользования-тротуар, ведущий с остановки к домам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Не ц</w:t>
            </w:r>
            <w:r>
              <w:rPr>
                <w:sz w:val="26"/>
                <w:szCs w:val="26"/>
                <w:lang w:eastAsia="en-US"/>
              </w:rPr>
              <w:t>елесообразно уч</w:t>
            </w:r>
            <w:r>
              <w:rPr>
                <w:sz w:val="26"/>
                <w:szCs w:val="26"/>
                <w:lang w:eastAsia="en-US"/>
              </w:rPr>
              <w:t>итывать</w:t>
            </w:r>
            <w:r>
              <w:rPr>
                <w:sz w:val="26"/>
                <w:szCs w:val="26"/>
                <w:lang w:eastAsia="en-US"/>
              </w:rPr>
              <w:t xml:space="preserve"> предложение,  </w:t>
            </w:r>
            <w:r>
              <w:rPr>
                <w:sz w:val="26"/>
                <w:szCs w:val="26"/>
                <w:lang w:eastAsia="en-US"/>
              </w:rPr>
              <w:t xml:space="preserve">в связи   недостаточностью площади земельного участка </w:t>
            </w:r>
            <w:r>
              <w:rPr>
                <w:sz w:val="26"/>
                <w:szCs w:val="26"/>
                <w:lang w:eastAsia="en-US"/>
              </w:rPr>
              <w:t>и по факту установлено, что территория используется под парковку</w:t>
            </w:r>
          </w:p>
        </w:tc>
      </w:tr>
      <w:tr>
        <w:trPr>
          <w:trHeight w:val="948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7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/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границу от дома № 24 сохранить на расстоянии 10 метров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bookmarkStart w:id="1" w:name="__DdeLink__1193_19418887"/>
            <w:r>
              <w:rPr>
                <w:sz w:val="26"/>
                <w:szCs w:val="26"/>
                <w:lang w:eastAsia="en-US"/>
              </w:rPr>
              <w:t>Не целесообразно учитывать</w:t>
            </w:r>
            <w:bookmarkEnd w:id="1"/>
            <w:r>
              <w:rPr>
                <w:sz w:val="26"/>
                <w:szCs w:val="26"/>
                <w:lang w:eastAsia="en-US"/>
              </w:rPr>
              <w:t xml:space="preserve">, так как формирование земельных участков не должно приводить к необоснованной чресполосице между границами земельных </w:t>
            </w:r>
            <w:r>
              <w:rPr>
                <w:sz w:val="26"/>
                <w:szCs w:val="26"/>
                <w:lang w:eastAsia="en-US"/>
              </w:rPr>
              <w:t>участков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>
        <w:trPr>
          <w:trHeight w:val="852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с двух сторон по красной линии участка :ЗУ18(2) от точки н264 сделать корректировку по фактическому использованию (закругленный участок-поворот к дому № 24)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bookmarkStart w:id="2" w:name="__DdeLink__17489_1662990129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2"/>
          </w:p>
        </w:tc>
      </w:tr>
      <w:tr>
        <w:trPr>
          <w:trHeight w:val="324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9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при выделении тротуара со стороны торца 1 подъезда откорректировать участок по фактическому использованию без учета общего канализационного колодца, идущего по линии от 25 школы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Не целесообразно учитывать, </w:t>
            </w:r>
            <w:r>
              <w:rPr>
                <w:sz w:val="26"/>
                <w:szCs w:val="26"/>
                <w:lang w:eastAsia="en-US"/>
              </w:rPr>
              <w:t>так как наличие коммуникаций  не является основанием для исключения их из территории домовладения</w:t>
            </w:r>
          </w:p>
        </w:tc>
      </w:tr>
      <w:tr>
        <w:trPr>
          <w:trHeight w:val="1414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10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outlineLvl w:val="0"/>
              <w:rPr/>
            </w:pP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точку н55, находящуюся на соед</w:t>
            </w: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и</w:t>
            </w: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 xml:space="preserve">нении с н54 перенести ближе к дому ( за </w:t>
            </w: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>тепловую</w:t>
            </w:r>
            <w:r>
              <w:rPr>
                <w:rFonts w:cs="Times New Roman"/>
                <w:color w:val="000000"/>
                <w:sz w:val="26"/>
                <w:szCs w:val="26"/>
                <w:lang w:eastAsia="ar-SA"/>
              </w:rPr>
              <w:t xml:space="preserve">.камеру) 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bookmarkStart w:id="3" w:name="__DdeLink__407_1432683890"/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  <w:bookmarkEnd w:id="3"/>
          </w:p>
        </w:tc>
      </w:tr>
      <w:tr>
        <w:trPr>
          <w:trHeight w:val="1414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11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</w:tabs>
              <w:spacing w:lineRule="auto" w:line="276"/>
              <w:ind w:left="-57" w:hanging="0"/>
              <w:jc w:val="both"/>
              <w:rPr/>
            </w:pPr>
            <w:r>
              <w:rPr>
                <w:rFonts w:eastAsia="Calibri" w:cs="Times New Roman"/>
                <w:color w:val="000000"/>
                <w:sz w:val="26"/>
                <w:szCs w:val="26"/>
                <w:lang w:eastAsia="ar-SA"/>
              </w:rPr>
              <w:t>сохранить со стороны двора все обозначенные газоны вдоль участка :ЗУ18(2), обозначенные в «Костромаоблкадастр», а также исключить нанесение «газон» со стороны 1 подъезда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Целесообразно учесть предложение, </w:t>
            </w:r>
            <w:r>
              <w:rPr>
                <w:sz w:val="26"/>
                <w:szCs w:val="26"/>
                <w:lang w:eastAsia="en-US"/>
              </w:rPr>
              <w:t>при условии предоставления участником общественных обсуждений схемы 2017г. «Костромаоблкадастр», на которую участник общественных обсуждений ссылается в письме</w:t>
            </w:r>
          </w:p>
        </w:tc>
      </w:tr>
      <w:tr>
        <w:trPr>
          <w:trHeight w:val="1414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12.1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на Чертеже межевания:</w:t>
            </w:r>
          </w:p>
          <w:p>
            <w:pPr>
              <w:pStyle w:val="Normal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красную линию по улице Долгая поляна:</w:t>
            </w:r>
          </w:p>
          <w:p>
            <w:pPr>
              <w:pStyle w:val="Default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в районе дома 16 по улице Индустриальной по границе земельного участка с кадастровым номером 44:27:070302:38, исключив образование земельного участка с условным номером :ЗУ1;</w:t>
            </w:r>
          </w:p>
          <w:p>
            <w:pPr>
              <w:pStyle w:val="Default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в точках 5-6 в створе точки 4;</w:t>
            </w:r>
          </w:p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в районе земельного участка с кадастровым номером 44:27:070302:31 с учетом входных групп здания, расположенного к границах данного земельного участка;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642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12.2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с кадастровым номером 44:27:070302:3464, включить в состав земельного участка с условным номером :ЗУ44 в связи с расположением в границах земельного участка с кадастровым номером 44:27:070302:3464 нестационарного торгового объекта, под которым не требуется образование земельного участка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93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ar-SA" w:bidi="ar-SA"/>
              </w:rPr>
              <w:t>12.3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shd w:val="clear" w:color="auto" w:fill="FFFFFF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границу земельного участка с условным номером :ЗУ2 в точках н4-н5 установить с учетом соблюдения ширины проезда между участками 3,5 метра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924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12.4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сформировать земельные участки с условными номерами :ЗУ5, :ЗУ6, :ЗУ7, :ЗУ8 с учетом соблюдения нормативов до детской площадки, предусмотрев образование 3-х земельных участков вместо 4-х;</w:t>
            </w:r>
          </w:p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firstLine="709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12.5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ar-SA" w:bidi="ar-SA"/>
              </w:rPr>
              <w:t>установить границу земельных участков с условными номерами :ЗУ2 и :ЗУ3 в точках н8-12 в створе границы земельного участка с условным номером :ЗУ4 по точкам н17-н18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12.6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образование земельного участка с условным номером :ЗУ2 предусмотреть из земель, государственная собственность на которые не разграничена, с предварительным снятием с учета земельного участка с кадастровым номером 44:27:070302:2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12.7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исключить образование земельных участков с условными номерами :ЗУ14 и :ЗУ16, сохранив земельные участки с кадастровыми номерами 44:27:070302:2902 и  44:27:070302:2903 в исходных границах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12.8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образование земельных участков с условными номерами :ЗУ29-:ЗУ40 осуществить с учетом соблюдения нормативов градостроительного проектирования в части разрывов до существующих объектов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12.9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откорректировать границу земельного участка с кадастровым номером 4:27:070302:2905, присоединив к нему часть территории образуемого земельного участка с условным номером :ЗУ45, с учетом необходимости размещения в границах земельного участка многоквартирного дома требуемых элементов благоустройства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10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земельный участок с условным номером :ЗУ47 заштриховать в соответствии с условными обозначениями для земельных участков общего пользования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11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numPr>
                <w:ilvl w:val="0"/>
                <w:numId w:val="0"/>
              </w:numPr>
              <w:shd w:val="clear" w:color="auto" w:fill="FFFFFF"/>
              <w:tabs>
                <w:tab w:val="clear" w:pos="720"/>
                <w:tab w:val="left" w:pos="570" w:leader="none"/>
              </w:tabs>
              <w:spacing w:lineRule="auto" w:line="276"/>
              <w:ind w:hanging="0"/>
              <w:jc w:val="both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исключить территории, отнесенные к улично-дорожной сети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исключить границы Проекта межевания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13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отразить существующие элементы планировочной структуры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14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исключить линию отступа от красной линии на земельных участках общего пользования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12.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15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на земельном участке с кадастровым номером 4:27:070302:7 установить 6-метровую линию отступа от красной линии с учетом Правил землепользования и застройки города Костромы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13.</w:t>
            </w:r>
          </w:p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13.1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auto"/>
              <w:suppressAutoHyphens w:val="false"/>
              <w:ind w:left="0" w:hanging="0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текстовой части Проекта межевания:</w:t>
            </w:r>
          </w:p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 xml:space="preserve">отразить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сведения, предусмотренные пунктом 5 части 5 статьи 43 Градостроительного кодекса Российской Федерации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13.2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hd w:val="clear" w:color="auto" w:fill="auto"/>
              <w:suppressAutoHyphens w:val="false"/>
              <w:spacing w:before="0" w:after="200"/>
              <w:ind w:left="0" w:hanging="0"/>
              <w:contextualSpacing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указать местоположение земельных участков общего пользования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13.3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auto"/>
              <w:suppressAutoHyphens w:val="false"/>
              <w:ind w:hanging="0"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абзаце третьем на странице 15 после слов «№ 1221» дополнить словами «и </w:t>
            </w:r>
            <w:r>
              <w:rPr>
                <w:rFonts w:eastAsia="Calibri" w:cs="Times New Roman"/>
                <w:sz w:val="26"/>
                <w:szCs w:val="26"/>
              </w:rPr>
              <w:t>Положением об особенностях присвоения, изменения и аннулирования адресов объектов недвижимого имущества на территории города Костромы, утвержденным решением Думы города Костромы от 26 ноября 2015 года № 248»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13.4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hd w:val="clear" w:color="auto" w:fill="auto"/>
              <w:suppressAutoHyphens w:val="false"/>
              <w:spacing w:before="0" w:after="200"/>
              <w:ind w:left="0" w:hanging="0"/>
              <w:contextualSpacing/>
              <w:jc w:val="both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в способах образования земельных участков слова «государственной собственности до её разграничения» и «находящихся в государственной или муниципальной собственности» заменить словами «государственная собственность на которые не разграничена»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left="360" w:hanging="250"/>
              <w:jc w:val="center"/>
              <w:rPr/>
            </w:pPr>
            <w:r>
              <w:rPr/>
              <w:t>13.5</w:t>
            </w:r>
          </w:p>
        </w:tc>
        <w:tc>
          <w:tcPr>
            <w:tcW w:w="5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shd w:val="clear" w:color="auto" w:fill="auto"/>
              <w:tabs>
                <w:tab w:val="clear" w:pos="720"/>
                <w:tab w:val="left" w:pos="570" w:leader="none"/>
              </w:tabs>
              <w:suppressAutoHyphens w:val="false"/>
              <w:spacing w:lineRule="auto" w:line="276" w:before="0" w:after="200"/>
              <w:ind w:left="0" w:hanging="0"/>
              <w:contextualSpacing/>
              <w:jc w:val="both"/>
              <w:textAlignment w:val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ar-SA"/>
              </w:rPr>
              <w:t>привести Проект межевания в соответствие с Инструкцией по делопроизводству Администрации города Костромы</w:t>
            </w:r>
          </w:p>
        </w:tc>
        <w:tc>
          <w:tcPr>
            <w:tcW w:w="2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ind w:right="229" w:firstLine="29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Целесообразно учесть предложение</w:t>
            </w:r>
          </w:p>
        </w:tc>
      </w:tr>
    </w:tbl>
    <w:p>
      <w:pPr>
        <w:pStyle w:val="Normal"/>
        <w:shd w:val="clear" w:color="auto" w:fill="FFFFFF"/>
        <w:jc w:val="both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</w:r>
    </w:p>
    <w:p>
      <w:pPr>
        <w:pStyle w:val="Normal"/>
        <w:shd w:val="clear" w:color="auto" w:fill="FFFFFF"/>
        <w:ind w:firstLine="426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Выводы по результатам общественных обсуждений или публичных слушаний:</w:t>
      </w:r>
    </w:p>
    <w:p>
      <w:pPr>
        <w:pStyle w:val="Normal"/>
        <w:shd w:val="clear" w:color="auto" w:fill="FFFFFF"/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en-US"/>
        </w:rPr>
        <w:t>Целесообразно проект межевания территории доработать с учетом поступивших замечаний и предложений.</w:t>
      </w:r>
      <w:r>
        <w:br w:type="page"/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ind w:left="-57" w:hanging="0"/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Председательствующий Комиссии</w:t>
      </w:r>
    </w:p>
    <w:p>
      <w:pPr>
        <w:pStyle w:val="Normal"/>
        <w:ind w:left="-57" w:hanging="0"/>
        <w:jc w:val="both"/>
        <w:rPr>
          <w:sz w:val="25"/>
          <w:szCs w:val="25"/>
        </w:rPr>
      </w:pPr>
      <w:r>
        <w:rPr>
          <w:sz w:val="25"/>
          <w:szCs w:val="25"/>
        </w:rPr>
        <w:t>по рассмотрению документации</w:t>
      </w:r>
    </w:p>
    <w:p>
      <w:pPr>
        <w:pStyle w:val="Normal"/>
        <w:ind w:left="-57" w:hanging="0"/>
        <w:jc w:val="both"/>
        <w:rPr/>
      </w:pPr>
      <w:r>
        <w:rPr>
          <w:sz w:val="25"/>
          <w:szCs w:val="25"/>
        </w:rPr>
        <w:t>по планировке территории города Костромы                                               О. В. Воронина</w:t>
      </w:r>
    </w:p>
    <w:p>
      <w:pPr>
        <w:pStyle w:val="Normal"/>
        <w:shd w:val="clear" w:color="auto" w:fill="FFFFFF"/>
        <w:ind w:right="197" w:hanging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</w:rPr>
        <w:t>Заместителя начальника</w:t>
      </w:r>
    </w:p>
    <w:p>
      <w:pPr>
        <w:pStyle w:val="Normal"/>
        <w:shd w:val="clear" w:color="auto" w:fill="FFFFFF"/>
        <w:tabs>
          <w:tab w:val="clear" w:pos="720"/>
          <w:tab w:val="left" w:pos="142" w:leader="none"/>
        </w:tabs>
        <w:rPr/>
      </w:pPr>
      <w:r>
        <w:rPr>
          <w:sz w:val="26"/>
          <w:szCs w:val="26"/>
        </w:rPr>
        <w:t>Управления имущественных и земельных отношений</w:t>
      </w:r>
    </w:p>
    <w:p>
      <w:pPr>
        <w:pStyle w:val="Normal"/>
        <w:shd w:val="clear" w:color="auto" w:fill="FFFFFF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  <w:lang w:eastAsia="ru-RU"/>
        </w:rPr>
        <w:tab/>
        <w:t xml:space="preserve">       О. Л. Аристова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Начальник отдела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перспективного развития территорий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Управления архитектуры и градостроительства</w:t>
      </w:r>
    </w:p>
    <w:p>
      <w:pPr>
        <w:pStyle w:val="Normal"/>
        <w:shd w:val="clear" w:color="auto" w:fill="FFFFFF"/>
        <w:jc w:val="both"/>
        <w:rPr/>
      </w:pPr>
      <w:r>
        <w:rPr>
          <w:sz w:val="26"/>
          <w:szCs w:val="26"/>
          <w:lang w:eastAsia="ru-RU"/>
        </w:rPr>
        <w:t xml:space="preserve">Администрации города Костромы </w:t>
        <w:tab/>
        <w:tab/>
        <w:tab/>
        <w:tab/>
        <w:tab/>
        <w:t xml:space="preserve">       Н. А. Сахарова</w:t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shd w:val="clear" w:color="auto" w:fill="FFFFFF"/>
        <w:ind w:right="197" w:hanging="0"/>
        <w:jc w:val="both"/>
        <w:rPr/>
      </w:pPr>
      <w:r>
        <w:rPr>
          <w:sz w:val="26"/>
          <w:szCs w:val="26"/>
        </w:rPr>
        <w:t>В. А. Носкова</w:t>
      </w:r>
    </w:p>
    <w:p>
      <w:pPr>
        <w:pStyle w:val="Normal"/>
        <w:shd w:val="clear" w:color="auto" w:fill="FFFFFF"/>
        <w:ind w:right="197" w:hanging="0"/>
        <w:jc w:val="both"/>
        <w:rPr/>
      </w:pPr>
      <w:r>
        <w:rPr>
          <w:sz w:val="26"/>
          <w:szCs w:val="26"/>
        </w:rPr>
        <w:t>222 777 (105)</w:t>
      </w:r>
    </w:p>
    <w:sectPr>
      <w:footerReference w:type="default" r:id="rId2"/>
      <w:type w:val="nextPage"/>
      <w:pgSz w:w="11906" w:h="16838"/>
      <w:pgMar w:left="1680" w:right="850" w:header="0" w:top="719" w:footer="720" w:bottom="77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hd w:val="clear" w:fill="FFFFFF"/>
      <w:jc w:val="center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Standard"/>
    <w:next w:val="Standard"/>
    <w:qFormat/>
    <w:pPr>
      <w:keepNext w:val="true"/>
      <w:shd w:val="clear" w:color="auto" w:fill="FFFFFF"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Standard"/>
    <w:next w:val="Standard"/>
    <w:qFormat/>
    <w:pPr>
      <w:keepNext w:val="true"/>
      <w:shd w:val="clear" w:color="auto" w:fill="FFFFFF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 w:val="true"/>
      <w:shd w:val="clear" w:color="auto" w:fill="FFFFFF"/>
      <w:ind w:firstLine="709"/>
      <w:jc w:val="both"/>
      <w:outlineLvl w:val="2"/>
    </w:pPr>
    <w:rPr>
      <w:bCs/>
      <w:sz w:val="28"/>
      <w:szCs w:val="26"/>
    </w:rPr>
  </w:style>
  <w:style w:type="paragraph" w:styleId="4">
    <w:name w:val="Heading 4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basedOn w:val="Normal"/>
    <w:next w:val="Normal"/>
    <w:qFormat/>
    <w:pPr>
      <w:keepNext w:val="true"/>
      <w:widowControl w:val="false"/>
      <w:shd w:val="clear" w:color="auto" w:fill="FFFFFF"/>
      <w:jc w:val="center"/>
      <w:outlineLvl w:val="4"/>
    </w:pPr>
    <w:rPr>
      <w:rFonts w:ascii="Arial" w:hAnsi="Arial"/>
      <w:b/>
      <w:sz w:val="32"/>
      <w:szCs w:val="18"/>
      <w:lang w:val="en-US"/>
    </w:rPr>
  </w:style>
  <w:style w:type="paragraph" w:styleId="6">
    <w:name w:val="Heading 6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8"/>
    </w:pPr>
    <w:rPr>
      <w:rFonts w:ascii="Arial" w:hAnsi="Arial" w:eastAsia="Arial" w:cs="Arial"/>
      <w:i/>
      <w:iCs/>
      <w:color w:val="auto"/>
      <w:kern w:val="0"/>
      <w:sz w:val="21"/>
      <w:szCs w:val="21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uiPriority w:val="10"/>
    <w:qFormat/>
    <w:rPr>
      <w:sz w:val="48"/>
      <w:szCs w:val="48"/>
    </w:rPr>
  </w:style>
  <w:style w:type="character" w:styleId="SubtitleChar" w:customStyle="1">
    <w:name w:val="Subtitle Char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5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11" w:customStyle="1">
    <w:name w:val="Основной шрифт абзаца1"/>
    <w:qFormat/>
    <w:rPr/>
  </w:style>
  <w:style w:type="character" w:styleId="Style7">
    <w:name w:val="Выделение"/>
    <w:qFormat/>
    <w:rPr>
      <w:i/>
      <w:iCs/>
    </w:rPr>
  </w:style>
  <w:style w:type="character" w:styleId="WW8Num5z0" w:customStyle="1">
    <w:name w:val="WW8Num5z0"/>
    <w:qFormat/>
    <w:rPr>
      <w:rFonts w:ascii="Symbol" w:hAnsi="Symbol"/>
    </w:rPr>
  </w:style>
  <w:style w:type="character" w:styleId="Style8" w:customStyle="1">
    <w:name w:val="Символ нумерации"/>
    <w:qFormat/>
    <w:rPr/>
  </w:style>
  <w:style w:type="character" w:styleId="Style9" w:customStyle="1">
    <w:name w:val="Маркеры списка"/>
    <w:qFormat/>
    <w:rPr>
      <w:rFonts w:ascii="OpenSymbol" w:hAnsi="OpenSymbol" w:eastAsia="OpenSymbol"/>
    </w:rPr>
  </w:style>
  <w:style w:type="character" w:styleId="Style10" w:customStyle="1">
    <w:name w:val="Текст выноски Знак"/>
    <w:qFormat/>
    <w:rPr>
      <w:rFonts w:ascii="Tahoma" w:hAnsi="Tahoma"/>
      <w:sz w:val="16"/>
      <w:szCs w:val="16"/>
      <w:lang w:eastAsia="ar-SA"/>
    </w:rPr>
  </w:style>
  <w:style w:type="character" w:styleId="51" w:customStyle="1">
    <w:name w:val="Заголовок 5 Знак"/>
    <w:qFormat/>
    <w:rPr>
      <w:rFonts w:ascii="Arial" w:hAnsi="Arial"/>
      <w:b/>
      <w:sz w:val="32"/>
      <w:szCs w:val="18"/>
      <w:lang w:val="en-US" w:eastAsia="ar-SA"/>
    </w:rPr>
  </w:style>
  <w:style w:type="character" w:styleId="Style11" w:customStyle="1">
    <w:name w:val="Верхний колонтитул Знак"/>
    <w:qFormat/>
    <w:rPr>
      <w:sz w:val="24"/>
      <w:szCs w:val="24"/>
      <w:lang w:eastAsia="ar-SA"/>
    </w:rPr>
  </w:style>
  <w:style w:type="character" w:styleId="Style12" w:customStyle="1">
    <w:name w:val="Нижний колонтитул Знак"/>
    <w:qFormat/>
    <w:rPr>
      <w:sz w:val="24"/>
      <w:szCs w:val="24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hd w:val="clear" w:color="auto" w:fill="FFFFFF"/>
      <w:spacing w:lineRule="auto" w:line="276" w:before="0" w:after="140"/>
    </w:pPr>
    <w:rPr/>
  </w:style>
  <w:style w:type="paragraph" w:styleId="Style15">
    <w:name w:val="List"/>
    <w:basedOn w:val="Textbody"/>
    <w:pPr>
      <w:shd w:val="clear" w:fill="FFFFFF"/>
    </w:pPr>
    <w:rPr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next w:val="Style14"/>
    <w:uiPriority w:val="10"/>
    <w:qFormat/>
    <w:pPr>
      <w:widowControl/>
      <w:bidi w:val="0"/>
      <w:spacing w:before="300" w:after="20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48"/>
      <w:szCs w:val="48"/>
      <w:lang w:val="ru-RU" w:eastAsia="en-US" w:bidi="en-US"/>
    </w:rPr>
  </w:style>
  <w:style w:type="paragraph" w:styleId="Caption">
    <w:name w:val="caption"/>
    <w:basedOn w:val="Standard"/>
    <w:qFormat/>
    <w:pPr>
      <w:shd w:val="clear" w:color="auto" w:fill="FFFFFF"/>
      <w:spacing w:before="120" w:after="120"/>
    </w:pPr>
    <w:rPr>
      <w:i/>
      <w:iCs/>
      <w:sz w:val="24"/>
    </w:rPr>
  </w:style>
  <w:style w:type="paragraph" w:styleId="Indexheading">
    <w:name w:val="index heading"/>
    <w:basedOn w:val="Standard"/>
    <w:qFormat/>
    <w:pPr>
      <w:shd w:val="clear" w:color="auto" w:fill="FFFFFF"/>
    </w:pPr>
    <w:rPr>
      <w:sz w:val="24"/>
    </w:rPr>
  </w:style>
  <w:style w:type="paragraph" w:styleId="ListParagraph">
    <w:name w:val="List Paragraph"/>
    <w:basedOn w:val="Normal"/>
    <w:qFormat/>
    <w:pPr>
      <w:shd w:val="clear" w:color="auto" w:fill="FFFFFF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Style19">
    <w:name w:val="Subtitle"/>
    <w:basedOn w:val="Style22"/>
    <w:next w:val="Textbody"/>
    <w:qFormat/>
    <w:pPr>
      <w:shd w:val="clear" w:fill="FFFFFF"/>
      <w:jc w:val="center"/>
    </w:pPr>
    <w:rPr>
      <w:i/>
      <w:iCs/>
    </w:rPr>
  </w:style>
  <w:style w:type="paragraph" w:styleId="Quote">
    <w:name w:val="Quote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4"/>
      <w:szCs w:val="22"/>
      <w:lang w:val="ru-RU" w:eastAsia="en-US" w:bidi="en-US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4"/>
      <w:szCs w:val="22"/>
      <w:lang w:val="ru-RU" w:eastAsia="en-US" w:bidi="en-US"/>
    </w:rPr>
  </w:style>
  <w:style w:type="paragraph" w:styleId="Style20">
    <w:name w:val="Footnote Text"/>
    <w:uiPriority w:val="99"/>
    <w:semiHidden/>
    <w:unhideWhenUsed/>
    <w:pPr>
      <w:widowControl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2">
    <w:name w:val="TOC 1"/>
    <w:uiPriority w:val="39"/>
    <w:unhideWhenUsed/>
    <w:pPr>
      <w:widowControl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21">
    <w:name w:val="TOC 2"/>
    <w:uiPriority w:val="39"/>
    <w:unhideWhenUsed/>
    <w:pPr>
      <w:widowControl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31">
    <w:name w:val="TOC 3"/>
    <w:uiPriority w:val="39"/>
    <w:unhideWhenUsed/>
    <w:pPr>
      <w:widowControl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41">
    <w:name w:val="TOC 4"/>
    <w:uiPriority w:val="39"/>
    <w:unhideWhenUsed/>
    <w:pPr>
      <w:widowControl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61">
    <w:name w:val="TOC 6"/>
    <w:uiPriority w:val="39"/>
    <w:unhideWhenUsed/>
    <w:pPr>
      <w:widowControl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71">
    <w:name w:val="TOC 7"/>
    <w:uiPriority w:val="39"/>
    <w:unhideWhenUsed/>
    <w:pPr>
      <w:widowControl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81">
    <w:name w:val="TOC 8"/>
    <w:uiPriority w:val="39"/>
    <w:unhideWhenUsed/>
    <w:pPr>
      <w:widowControl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91">
    <w:name w:val="TOC 9"/>
    <w:uiPriority w:val="39"/>
    <w:unhideWhenUsed/>
    <w:pPr>
      <w:widowControl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en-US"/>
    </w:rPr>
  </w:style>
  <w:style w:type="paragraph" w:styleId="U" w:customStyle="1">
    <w:name w:val="u"/>
    <w:basedOn w:val="Normal"/>
    <w:qFormat/>
    <w:pPr>
      <w:shd w:val="clear" w:color="auto" w:fill="FFFFFF"/>
      <w:ind w:firstLine="260"/>
      <w:jc w:val="both"/>
    </w:pPr>
    <w:rPr>
      <w:lang w:eastAsia="ru-RU"/>
    </w:rPr>
  </w:style>
  <w:style w:type="paragraph" w:styleId="Style21" w:customStyle="1">
    <w:name w:val="Содержимое таблицы"/>
    <w:basedOn w:val="Standard"/>
    <w:qFormat/>
    <w:pPr>
      <w:shd w:val="clear" w:color="auto" w:fill="FFFFFF"/>
    </w:pPr>
    <w:rPr/>
  </w:style>
  <w:style w:type="paragraph" w:styleId="Standard" w:customStyle="1">
    <w:name w:val="Standard"/>
    <w:qFormat/>
    <w:pPr>
      <w:widowControl w:val="fals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1"/>
      <w:szCs w:val="24"/>
      <w:lang w:val="ru-RU" w:eastAsia="ru-RU" w:bidi="ar-SA"/>
    </w:rPr>
  </w:style>
  <w:style w:type="paragraph" w:styleId="Style22" w:customStyle="1">
    <w:name w:val="Заголовок;Название"/>
    <w:basedOn w:val="Standard"/>
    <w:next w:val="Textbody"/>
    <w:qFormat/>
    <w:pPr>
      <w:keepNext w:val="true"/>
      <w:shd w:val="clear" w:color="auto" w:fill="FFFFFF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pPr>
      <w:shd w:val="clear" w:color="auto" w:fill="FFFFFF"/>
      <w:spacing w:before="0" w:after="120"/>
    </w:pPr>
    <w:rPr/>
  </w:style>
  <w:style w:type="paragraph" w:styleId="ConsPlusTitle" w:customStyle="1">
    <w:name w:val="ConsPlusTitle"/>
    <w:qFormat/>
    <w:pPr>
      <w:widowControl/>
      <w:bidi w:val="0"/>
      <w:spacing w:before="0" w:after="0"/>
      <w:jc w:val="left"/>
    </w:pPr>
    <w:rPr>
      <w:rFonts w:ascii="Arial" w:hAnsi="Arial" w:eastAsia="Arial" w:cs="Times New Roman"/>
      <w:b/>
      <w:bCs/>
      <w:color w:val="auto"/>
      <w:kern w:val="0"/>
      <w:sz w:val="24"/>
      <w:szCs w:val="22"/>
      <w:lang w:val="ru-RU" w:eastAsia="ru-RU" w:bidi="ar-SA"/>
    </w:rPr>
  </w:style>
  <w:style w:type="paragraph" w:styleId="ConsPlusNormal" w:customStyle="1">
    <w:name w:val="ConsPlusNormal"/>
    <w:qFormat/>
    <w:pPr>
      <w:widowControl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4"/>
      <w:szCs w:val="22"/>
      <w:lang w:val="ru-RU" w:eastAsia="ru-RU" w:bidi="ar-SA"/>
    </w:rPr>
  </w:style>
  <w:style w:type="paragraph" w:styleId="NormalWeb">
    <w:name w:val="Normal (Web)"/>
    <w:basedOn w:val="Standard"/>
    <w:qFormat/>
    <w:pPr>
      <w:shd w:val="clear" w:color="auto" w:fill="FFFFFF"/>
      <w:spacing w:before="20" w:after="20"/>
      <w:ind w:firstLine="100"/>
      <w:jc w:val="both"/>
    </w:pPr>
    <w:rPr>
      <w:rFonts w:ascii="Arial" w:hAnsi="Arial"/>
      <w:sz w:val="18"/>
      <w:szCs w:val="18"/>
    </w:rPr>
  </w:style>
  <w:style w:type="paragraph" w:styleId="Style23" w:customStyle="1">
    <w:name w:val="Верхний и нижний колонтитулы"/>
    <w:basedOn w:val="Normal"/>
    <w:qFormat/>
    <w:pPr>
      <w:shd w:val="clear" w:color="auto" w:fill="FFFFFF"/>
    </w:pPr>
    <w:rPr/>
  </w:style>
  <w:style w:type="paragraph" w:styleId="Style24">
    <w:name w:val="Header"/>
    <w:basedOn w:val="Normal"/>
    <w:pPr>
      <w:shd w:val="clear" w:color="auto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shd w:val="clear" w:color="auto" w:fill="FFFFFF"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 w:customStyle="1">
    <w:name w:val="Заголовок таблицы"/>
    <w:basedOn w:val="Style21"/>
    <w:qFormat/>
    <w:pPr>
      <w:shd w:val="clear" w:fill="FFFFFF"/>
      <w:jc w:val="center"/>
    </w:pPr>
    <w:rPr>
      <w:b/>
      <w:bCs/>
    </w:rPr>
  </w:style>
  <w:style w:type="paragraph" w:styleId="ConsPlusCell" w:customStyle="1">
    <w:name w:val="ConsPlusCell"/>
    <w:qFormat/>
    <w:pPr>
      <w:widowControl w:val="fals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4"/>
      <w:szCs w:val="22"/>
      <w:lang w:val="ru-RU" w:eastAsia="ar-SA" w:bidi="ar-SA"/>
    </w:rPr>
  </w:style>
  <w:style w:type="paragraph" w:styleId="ConsPlusNonformat" w:customStyle="1">
    <w:name w:val="ConsPlusNonformat"/>
    <w:qFormat/>
    <w:pPr>
      <w:widowControl/>
      <w:bidi w:val="0"/>
      <w:spacing w:before="0" w:after="0"/>
      <w:jc w:val="left"/>
    </w:pPr>
    <w:rPr>
      <w:rFonts w:ascii="Courier New" w:hAnsi="Courier New" w:eastAsia="Arial" w:cs="Times New Roman"/>
      <w:color w:val="auto"/>
      <w:kern w:val="0"/>
      <w:sz w:val="24"/>
      <w:szCs w:val="22"/>
      <w:lang w:val="ru-RU" w:eastAsia="ar-SA" w:bidi="ar-SA"/>
    </w:rPr>
  </w:style>
  <w:style w:type="paragraph" w:styleId="BalloonText">
    <w:name w:val="Balloon Text"/>
    <w:basedOn w:val="Normal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</w:style>
  <w:style w:type="table" w:customStyle="1" w:styleId="TableGridLight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eastAsia="ru-RU" w:bidi="ar-SA"/>
      <w:color w:val="404040"/>
      <w:szCs w:val="20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13">
    <w:name w:val="Table Grid 1"/>
    <w:basedOn w:val="a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LibreOffice/6.3.4.2$Windows_x86 LibreOffice_project/60da17e045e08f1793c57c00ba83cdfce946d0aa</Application>
  <Pages>9</Pages>
  <Words>1894</Words>
  <Characters>12634</Characters>
  <CharactersWithSpaces>14547</CharactersWithSpaces>
  <Paragraphs>167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2020-11-18T13:57:00Z</dcterms:created>
  <dc:creator>Сахарова Наталья Александровна</dc:creator>
  <dc:description/>
  <dc:language>ru-RU</dc:language>
  <cp:lastModifiedBy/>
  <cp:lastPrinted>2020-12-18T18:06:16Z</cp:lastPrinted>
  <dcterms:modified xsi:type="dcterms:W3CDTF">2020-12-18T18:06:33Z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