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 xml:space="preserve">ЗАЯВКА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pPr>
        <w:rPr>
          <w:b/>
          <w:sz w:val="2"/>
          <w:szCs w:val="10"/>
          <w:lang w:eastAsia="zh-CN"/>
        </w:rPr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pPr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pPr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Ф.И.О., гражданина,  индивидуального предпринимателя,</w:t>
      </w:r>
      <w:r>
        <w:rPr>
          <w:bCs/>
          <w:sz w:val="16"/>
          <w:szCs w:val="18"/>
          <w:lang w:eastAsia="zh-CN"/>
        </w:rPr>
        <w:br/>
        <w:t xml:space="preserve">наименование юридического лица с указанием организационно-правовой формы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jc w:val="both"/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sz w:val="19"/>
          <w:szCs w:val="19"/>
          <w:lang w:eastAsia="zh-CN"/>
        </w:rPr>
        <w:t xml:space="preserve">в лице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  <w:tab/>
        <w:t xml:space="preserve"> </w:t>
      </w:r>
      <w:r>
        <w:rPr>
          <w:sz w:val="19"/>
          <w:szCs w:val="19"/>
          <w:lang w:eastAsia="zh-CN"/>
        </w:rPr>
      </w:r>
      <w:r/>
    </w:p>
    <w:p>
      <w:pPr>
        <w:jc w:val="center"/>
        <w:rPr>
          <w:sz w:val="18"/>
          <w:szCs w:val="18"/>
          <w:lang w:eastAsia="zh-CN"/>
        </w:rPr>
      </w:pP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руководителя юридического лица или уполномоченного лица, лица действующего на основании доверенности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p>
      <w:pPr>
        <w:jc w:val="both"/>
        <w:rPr>
          <w:b/>
          <w:bCs/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b/>
          <w:bCs/>
          <w:sz w:val="19"/>
          <w:szCs w:val="19"/>
          <w:lang w:eastAsia="zh-CN"/>
        </w:rPr>
        <w:t xml:space="preserve">действующего на основании</w:t>
      </w:r>
      <w:r>
        <w:rPr>
          <w:b/>
          <w:bCs/>
          <w:sz w:val="19"/>
          <w:szCs w:val="19"/>
          <w:vertAlign w:val="superscript"/>
          <w:lang w:eastAsia="zh-CN"/>
        </w:rPr>
        <w:footnoteReference w:id="2"/>
      </w:r>
      <w:r>
        <w:rPr>
          <w:b/>
          <w:bCs/>
          <w:sz w:val="19"/>
          <w:szCs w:val="19"/>
          <w:lang w:eastAsia="zh-CN"/>
        </w:rPr>
        <w:t xml:space="preserve"> </w:t>
      </w:r>
      <w:r>
        <w:rPr>
          <w:b/>
          <w:bCs/>
          <w:sz w:val="19"/>
          <w:szCs w:val="19"/>
          <w:lang w:eastAsia="zh-CN"/>
        </w:rPr>
      </w:r>
      <w:r/>
    </w:p>
    <w:p>
      <w:pPr>
        <w:jc w:val="center"/>
        <w:rPr>
          <w:b/>
          <w:lang w:eastAsia="zh-CN"/>
        </w:rPr>
      </w:pPr>
      <w:r>
        <w:rPr>
          <w:sz w:val="18"/>
          <w:szCs w:val="20"/>
          <w:lang w:eastAsia="zh-CN"/>
        </w:rPr>
        <w:t xml:space="preserve">(</w:t>
      </w:r>
      <w:r>
        <w:rPr>
          <w:sz w:val="16"/>
          <w:szCs w:val="18"/>
          <w:lang w:eastAsia="zh-CN"/>
        </w:rPr>
        <w:t xml:space="preserve">Устав, Положение, Соглашение, Доверенности и т.д</w:t>
      </w:r>
      <w:r>
        <w:rPr>
          <w:sz w:val="18"/>
          <w:szCs w:val="20"/>
          <w:lang w:eastAsia="zh-CN"/>
        </w:rPr>
        <w:t xml:space="preserve">.)</w:t>
      </w:r>
      <w:r>
        <w:rPr>
          <w:b/>
          <w:lang w:eastAsia="zh-CN"/>
        </w:rPr>
      </w:r>
      <w:r/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>
        <w:trPr>
          <w:trHeight w:val="1410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№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КПП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ОГРН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rPr>
                <w:rFonts w:eastAsia="Calibri"/>
              </w:rPr>
              <w:pBdr>
                <w:bottom w:val="single" w:color="000000" w:sz="4" w:space="1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b/>
                <w:sz w:val="18"/>
                <w:szCs w:val="18"/>
                <w:vertAlign w:val="superscript"/>
                <w:lang w:eastAsia="zh-CN"/>
              </w:rPr>
              <w:footnoteReference w:id="3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ind w:hanging="1"/>
        <w:jc w:val="both"/>
        <w:widowControl w:val="off"/>
        <w:rPr>
          <w:bCs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b/>
          <w:sz w:val="18"/>
          <w:szCs w:val="18"/>
          <w:lang w:eastAsia="zh-CN"/>
        </w:rPr>
        <w:t xml:space="preserve">принял решение об участии в аукционе на право заключения договора аренды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/>
    </w:p>
    <w:p>
      <w:pPr>
        <w:ind w:hanging="1"/>
        <w:jc w:val="both"/>
        <w:widowControl w:val="off"/>
        <w:rPr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.</w:t>
      </w:r>
      <w:r>
        <w:rPr>
          <w:b/>
          <w:sz w:val="18"/>
          <w:szCs w:val="18"/>
          <w:lang w:eastAsia="zh-CN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sz w:val="18"/>
          <w:szCs w:val="18"/>
          <w:vertAlign w:val="superscript"/>
          <w:lang w:eastAsia="zh-CN"/>
        </w:rPr>
        <w:footnoteReference w:id="4"/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sz w:val="17"/>
          <w:szCs w:val="17"/>
          <w:vertAlign w:val="superscript"/>
          <w:lang w:eastAsia="zh-CN"/>
        </w:rPr>
        <w:footnoteReference w:id="5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</w:t>
      </w:r>
      <w:r>
        <w:rPr>
          <w:sz w:val="18"/>
          <w:szCs w:val="18"/>
          <w:lang w:eastAsia="zh-CN"/>
        </w:rPr>
        <w:t xml:space="preserve">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</w:t>
      </w:r>
      <w:r>
        <w:rPr>
          <w:sz w:val="18"/>
          <w:szCs w:val="18"/>
          <w:lang w:eastAsia="zh-CN"/>
        </w:rPr>
        <w:t xml:space="preserve">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</w:t>
      </w:r>
      <w:r>
        <w:rPr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spacing w:after="160" w:line="259" w:lineRule="auto"/>
        <w:rPr>
          <w:szCs w:val="28"/>
          <w:lang w:eastAsia="zh-CN"/>
        </w:rPr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spacing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875"/>
        <w:tblW w:w="5000" w:type="pct"/>
        <w:tblBorders>
          <w:insideH w:val="none" w:color="auto" w:sz="0" w:space="0"/>
          <w:insideV w:val="none" w:color="auto" w:sz="0" w:space="0"/>
        </w:tblBorders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345"/>
      </w:tblGrid>
      <w:tr>
        <w:trPr>
          <w:trHeight w:val="26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электронной подписи</w:t>
            </w: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Владелец: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Организация: </w:t>
            </w:r>
            <w:r>
              <w:rPr>
                <w:sz w:val="16"/>
                <w:szCs w:val="16"/>
                <w:lang w:eastAsia="zh-CN"/>
              </w:rPr>
              <w:fldChar w:fldCharType="begin"/>
            </w:r>
            <w:r>
              <w:rPr>
                <w:sz w:val="16"/>
                <w:szCs w:val="16"/>
                <w:lang w:eastAsia="zh-CN"/>
              </w:rPr>
              <w:instrText xml:space="preserve"> Документ</w:instrText>
            </w:r>
            <w:r>
              <w:rPr>
                <w:sz w:val="16"/>
                <w:szCs w:val="16"/>
                <w:lang w:eastAsia="zh-CN"/>
              </w:rPr>
              <w:instrText xml:space="preserve">_</w:instrText>
            </w:r>
            <w:r>
              <w:rPr>
                <w:sz w:val="16"/>
                <w:szCs w:val="16"/>
                <w:lang w:eastAsia="zh-CN"/>
              </w:rPr>
              <w:instrText xml:space="preserve">ЭлПодпись_Организация_Участник </w:instrText>
            </w:r>
            <w:r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.</w:t>
            </w:r>
            <w:r>
              <w:rPr>
                <w:sz w:val="16"/>
                <w:szCs w:val="16"/>
                <w:lang w:eastAsia="zh-CN"/>
              </w:rPr>
              <w:fldChar w:fldCharType="end"/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Подписано: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сертификата</w:t>
            </w:r>
            <w:r>
              <w:rPr>
                <w:b/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Срок действия: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</w:tbl>
    <w:p>
      <w:pPr>
        <w:ind w:left="7655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873"/>
        <w:contextualSpacing/>
        <w:jc w:val="both"/>
        <w:spacing w:line="216" w:lineRule="auto"/>
        <w:rPr>
          <w:lang w:val="ru-RU"/>
        </w:rPr>
      </w:pPr>
      <w:r/>
      <w:bookmarkStart w:id="0" w:name="_Hlk92875634"/>
      <w:r>
        <w:rPr>
          <w:rStyle w:val="872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юридическим лицом</w:t>
      </w:r>
      <w:r>
        <w:rPr>
          <w:sz w:val="18"/>
          <w:szCs w:val="18"/>
          <w:lang w:val="ru-RU"/>
        </w:rPr>
        <w:t xml:space="preserve">, или лицом действующим на основании доверенности</w:t>
      </w:r>
      <w:r>
        <w:rPr>
          <w:sz w:val="18"/>
          <w:szCs w:val="18"/>
        </w:rPr>
        <w:t xml:space="preserve">.</w:t>
      </w:r>
      <w:bookmarkEnd w:id="0"/>
      <w:r>
        <w:rPr>
          <w:lang w:val="ru-RU"/>
        </w:rPr>
      </w:r>
      <w:r/>
    </w:p>
  </w:footnote>
  <w:footnote w:id="3">
    <w:p>
      <w:pPr>
        <w:jc w:val="both"/>
      </w:pPr>
      <w:r>
        <w:rPr>
          <w:rStyle w:val="872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4">
    <w:p>
      <w:pPr>
        <w:pStyle w:val="873"/>
        <w:contextualSpacing/>
        <w:jc w:val="both"/>
        <w:spacing w:line="216" w:lineRule="auto"/>
        <w:rPr>
          <w:sz w:val="18"/>
          <w:szCs w:val="18"/>
          <w:lang w:val="ru-RU"/>
        </w:rPr>
      </w:pPr>
      <w:r>
        <w:rPr>
          <w:rStyle w:val="87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  <w:lang w:val="ru-RU"/>
        </w:rPr>
      </w:r>
      <w:r/>
    </w:p>
  </w:footnote>
  <w:footnote w:id="5">
    <w:p>
      <w:pPr>
        <w:pStyle w:val="873"/>
        <w:contextualSpacing/>
        <w:jc w:val="both"/>
        <w:spacing w:line="216" w:lineRule="auto"/>
        <w:rPr>
          <w:lang w:val="ru-RU"/>
        </w:rPr>
      </w:pPr>
      <w:r>
        <w:rPr>
          <w:rStyle w:val="87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>
        <w:rPr>
          <w:sz w:val="18"/>
          <w:szCs w:val="18"/>
          <w:lang w:val="ru-RU"/>
        </w:rPr>
        <w:t xml:space="preserve"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 xml:space="preserve">.</w:t>
      </w:r>
      <w:r>
        <w:rPr>
          <w:lang w:val="ru-RU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68"/>
    <w:next w:val="868"/>
    <w:link w:val="69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4">
    <w:name w:val="Heading 1 Char"/>
    <w:basedOn w:val="869"/>
    <w:link w:val="693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68"/>
    <w:next w:val="868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basedOn w:val="869"/>
    <w:link w:val="695"/>
    <w:uiPriority w:val="9"/>
    <w:rPr>
      <w:rFonts w:ascii="Arial" w:hAnsi="Arial" w:eastAsia="Arial" w:cs="Arial"/>
      <w:sz w:val="34"/>
    </w:rPr>
  </w:style>
  <w:style w:type="paragraph" w:styleId="697">
    <w:name w:val="Heading 3"/>
    <w:basedOn w:val="868"/>
    <w:next w:val="868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8">
    <w:name w:val="Heading 3 Char"/>
    <w:basedOn w:val="869"/>
    <w:link w:val="697"/>
    <w:uiPriority w:val="9"/>
    <w:rPr>
      <w:rFonts w:ascii="Arial" w:hAnsi="Arial" w:eastAsia="Arial" w:cs="Arial"/>
      <w:sz w:val="30"/>
      <w:szCs w:val="30"/>
    </w:rPr>
  </w:style>
  <w:style w:type="paragraph" w:styleId="699">
    <w:name w:val="Heading 4"/>
    <w:basedOn w:val="868"/>
    <w:next w:val="868"/>
    <w:link w:val="7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0">
    <w:name w:val="Heading 4 Char"/>
    <w:basedOn w:val="869"/>
    <w:link w:val="699"/>
    <w:uiPriority w:val="9"/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868"/>
    <w:next w:val="868"/>
    <w:link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2">
    <w:name w:val="Heading 5 Char"/>
    <w:basedOn w:val="869"/>
    <w:link w:val="701"/>
    <w:uiPriority w:val="9"/>
    <w:rPr>
      <w:rFonts w:ascii="Arial" w:hAnsi="Arial" w:eastAsia="Arial" w:cs="Arial"/>
      <w:b/>
      <w:bCs/>
      <w:sz w:val="24"/>
      <w:szCs w:val="24"/>
    </w:rPr>
  </w:style>
  <w:style w:type="paragraph" w:styleId="703">
    <w:name w:val="Heading 6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4">
    <w:name w:val="Heading 6 Char"/>
    <w:basedOn w:val="869"/>
    <w:link w:val="703"/>
    <w:uiPriority w:val="9"/>
    <w:rPr>
      <w:rFonts w:ascii="Arial" w:hAnsi="Arial" w:eastAsia="Arial" w:cs="Arial"/>
      <w:b/>
      <w:bCs/>
      <w:sz w:val="22"/>
      <w:szCs w:val="22"/>
    </w:rPr>
  </w:style>
  <w:style w:type="paragraph" w:styleId="705">
    <w:name w:val="Heading 7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7 Char"/>
    <w:basedOn w:val="869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7">
    <w:name w:val="Heading 8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8">
    <w:name w:val="Heading 8 Char"/>
    <w:basedOn w:val="869"/>
    <w:link w:val="707"/>
    <w:uiPriority w:val="9"/>
    <w:rPr>
      <w:rFonts w:ascii="Arial" w:hAnsi="Arial" w:eastAsia="Arial" w:cs="Arial"/>
      <w:i/>
      <w:iCs/>
      <w:sz w:val="22"/>
      <w:szCs w:val="22"/>
    </w:rPr>
  </w:style>
  <w:style w:type="paragraph" w:styleId="709">
    <w:name w:val="Heading 9"/>
    <w:basedOn w:val="868"/>
    <w:next w:val="868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>
    <w:name w:val="Heading 9 Char"/>
    <w:basedOn w:val="869"/>
    <w:link w:val="709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List Paragraph"/>
    <w:basedOn w:val="868"/>
    <w:uiPriority w:val="34"/>
    <w:qFormat/>
    <w:pPr>
      <w:contextualSpacing/>
      <w:ind w:left="720"/>
    </w:p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68"/>
    <w:next w:val="868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69"/>
    <w:link w:val="713"/>
    <w:uiPriority w:val="10"/>
    <w:rPr>
      <w:sz w:val="48"/>
      <w:szCs w:val="48"/>
    </w:rPr>
  </w:style>
  <w:style w:type="paragraph" w:styleId="715">
    <w:name w:val="Subtitle"/>
    <w:basedOn w:val="868"/>
    <w:next w:val="868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69"/>
    <w:link w:val="715"/>
    <w:uiPriority w:val="11"/>
    <w:rPr>
      <w:sz w:val="24"/>
      <w:szCs w:val="24"/>
    </w:rPr>
  </w:style>
  <w:style w:type="paragraph" w:styleId="717">
    <w:name w:val="Quote"/>
    <w:basedOn w:val="868"/>
    <w:next w:val="868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68"/>
    <w:next w:val="868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68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69"/>
    <w:link w:val="721"/>
    <w:uiPriority w:val="99"/>
  </w:style>
  <w:style w:type="paragraph" w:styleId="723">
    <w:name w:val="Footer"/>
    <w:basedOn w:val="868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69"/>
    <w:link w:val="723"/>
    <w:uiPriority w:val="99"/>
  </w:style>
  <w:style w:type="paragraph" w:styleId="725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character" w:styleId="853">
    <w:name w:val="Footnote Text Char"/>
    <w:link w:val="873"/>
    <w:uiPriority w:val="99"/>
    <w:rPr>
      <w:sz w:val="18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character" w:styleId="872">
    <w:name w:val="footnote reference"/>
    <w:rPr>
      <w:vertAlign w:val="superscript"/>
    </w:rPr>
  </w:style>
  <w:style w:type="paragraph" w:styleId="873">
    <w:name w:val="footnote text"/>
    <w:basedOn w:val="868"/>
    <w:link w:val="874"/>
    <w:rPr>
      <w:sz w:val="20"/>
      <w:szCs w:val="20"/>
      <w:lang w:eastAsia="zh-CN"/>
    </w:rPr>
  </w:style>
  <w:style w:type="character" w:styleId="874" w:customStyle="1">
    <w:name w:val="Текст сноски Знак"/>
    <w:basedOn w:val="869"/>
    <w:link w:val="873"/>
    <w:rPr>
      <w:rFonts w:ascii="Times New Roman" w:hAnsi="Times New Roman" w:eastAsia="Times New Roman" w:cs="Times New Roman"/>
      <w:sz w:val="20"/>
      <w:szCs w:val="20"/>
      <w:lang w:eastAsia="zh-CN"/>
    </w:rPr>
  </w:style>
  <w:style w:type="table" w:styleId="875">
    <w:name w:val="Table Grid"/>
    <w:basedOn w:val="87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Юрьевна</dc:creator>
  <cp:keywords/>
  <dc:description/>
  <cp:revision>3</cp:revision>
  <dcterms:created xsi:type="dcterms:W3CDTF">2023-04-20T10:46:00Z</dcterms:created>
  <dcterms:modified xsi:type="dcterms:W3CDTF">2023-12-21T12:44:12Z</dcterms:modified>
</cp:coreProperties>
</file>