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изменений в  документацию по планировке территории,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 xml:space="preserve">ограниченной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>шоссе Кинешемским, улицами Старо-караваевской, Индустриальной</w:t>
      </w:r>
      <w:r>
        <w:rPr>
          <w:rFonts w:ascii="Times New Roman" w:hAnsi="Times New Roman"/>
          <w:sz w:val="26"/>
          <w:szCs w:val="26"/>
        </w:rPr>
        <w:t xml:space="preserve">», в виде проекта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межевания</w:t>
      </w:r>
      <w:r>
        <w:rPr>
          <w:rFonts w:ascii="Times New Roman" w:hAnsi="Times New Roman"/>
          <w:sz w:val="26"/>
          <w:szCs w:val="26"/>
        </w:rPr>
        <w:t xml:space="preserve"> территории, 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13 по 19 марта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я 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LibreOffice/6.4.4.2$Windows_x86 LibreOffice_project/3d775be2011f3886db32dfd395a6a6d1ca2630ff</Application>
  <Pages>1</Pages>
  <Words>217</Words>
  <Characters>1684</Characters>
  <CharactersWithSpaces>2000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2026-03-13T17:44:49Z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