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  <w:rPr>
                <w:b/>
                <w:bCs/>
              </w:rPr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 xml:space="preserve">планировке территории, ограниченной</w:t>
            </w:r>
            <w:r>
              <w:rPr>
                <w:b/>
                <w:bCs/>
                <w:sz w:val="26"/>
                <w:szCs w:val="26"/>
              </w:rPr>
              <w:t xml:space="preserve">  улицами Физкультурной, Линейной, проспектом Речным, проездом Речным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</w:t>
        <w:br/>
        <w:t xml:space="preserve">от 28 июня 2021 года № 1130,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учитывая протокол общественных обсуждений </w:t>
        <w:br/>
        <w:t xml:space="preserve">от 26 июля 2021 года, </w:t>
      </w:r>
      <w:r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от 26 июля 2021 года,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 xml:space="preserve">планировке территории, ограниченной улицами Физкультурной, Линейной, проспектом Речным, проездом Речным</w:t>
      </w:r>
      <w:r>
        <w:rPr>
          <w:sz w:val="26"/>
          <w:szCs w:val="26"/>
        </w:rPr>
        <w:t xml:space="preserve"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 xml:space="preserve">виде проекта межевания территории.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26</cp:revision>
  <dcterms:modified xsi:type="dcterms:W3CDTF">2024-05-24T13:09:09Z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