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территории, ограниченной</w:t>
            </w:r>
            <w:r>
              <w:rPr>
                <w:b/>
                <w:bCs/>
                <w:sz w:val="26"/>
                <w:szCs w:val="26"/>
              </w:rPr>
              <w:t xml:space="preserve">  улицами Мира, Дорожной 2-й, Центральной </w:t>
              <w:br/>
              <w:t xml:space="preserve">2-й, проездом от улицы Центральной 2-й до улицы Мира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учитывая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  <w:t xml:space="preserve">проток</w:t>
      </w:r>
      <w:r>
        <w:rPr>
          <w:rFonts w:ascii="Times New Roman" w:hAnsi="Times New Roman"/>
          <w:color w:val="000000"/>
          <w:sz w:val="26"/>
          <w:szCs w:val="26"/>
        </w:rPr>
        <w:t xml:space="preserve">ол общественных обсуждений </w:t>
        <w:br/>
        <w:t xml:space="preserve">от 13</w:t>
      </w:r>
      <w:r>
        <w:rPr>
          <w:rFonts w:ascii="Times New Roman" w:hAnsi="Times New Roman"/>
          <w:color w:val="000000"/>
          <w:sz w:val="26"/>
          <w:szCs w:val="26"/>
        </w:rPr>
        <w:t xml:space="preserve"> июля 2022</w:t>
      </w:r>
      <w:r>
        <w:rPr>
          <w:rFonts w:ascii="Times New Roman" w:hAnsi="Times New Roman"/>
          <w:color w:val="000000"/>
          <w:sz w:val="26"/>
          <w:szCs w:val="26"/>
        </w:rPr>
        <w:t xml:space="preserve"> года, заключение о результатах </w:t>
      </w:r>
      <w:r>
        <w:rPr>
          <w:rFonts w:ascii="Times New Roman" w:hAnsi="Times New Roman"/>
          <w:color w:val="000000"/>
          <w:sz w:val="26"/>
          <w:szCs w:val="26"/>
        </w:rPr>
        <w:t xml:space="preserve">общественных обсуждений </w:t>
        <w:br/>
        <w:t xml:space="preserve">от 13</w:t>
      </w:r>
      <w:r>
        <w:rPr>
          <w:rFonts w:ascii="Times New Roman" w:hAnsi="Times New Roman"/>
          <w:color w:val="000000"/>
          <w:sz w:val="26"/>
          <w:szCs w:val="26"/>
        </w:rPr>
        <w:t xml:space="preserve"> июля 2022 года</w:t>
      </w:r>
      <w:r/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улицами Мира, Дорожной 2-й, Центральной 2-й, проездом от улицы Центральной 2-й до улицы Мира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6"/>
          <w:szCs w:val="24"/>
        </w:rPr>
        <w:t xml:space="preserve">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modified xsi:type="dcterms:W3CDTF">2024-12-25T07:41:41Z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