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Контрольный лист определения необходимости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проведения оценки регулирующего воздействия </w:t>
      </w:r>
      <w:r>
        <w:rPr>
          <w:sz w:val="26"/>
          <w:szCs w:val="26"/>
        </w:rPr>
        <w:t xml:space="preserve">проект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постановления</w:t>
      </w:r>
      <w:r>
        <w:rPr>
          <w:sz w:val="26"/>
          <w:szCs w:val="26"/>
        </w:rPr>
        <w:t xml:space="preserve"> Администрации города Костромы</w:t>
      </w:r>
      <w:r>
        <w:rPr>
          <w:sz w:val="26"/>
          <w:szCs w:val="26"/>
        </w:rPr>
        <w:t xml:space="preserve"> «</w:t>
      </w:r>
      <w:r>
        <w:rPr>
          <w:sz w:val="26"/>
        </w:rPr>
        <w:t xml:space="preserve">О</w:t>
      </w:r>
      <w:r>
        <w:rPr>
          <w:sz w:val="26"/>
        </w:rPr>
        <w:t xml:space="preserve"> внесении 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изменений в Местные нормативы градостроительного проектирования города Костромы</w:t>
      </w:r>
      <w:r>
        <w:rPr>
          <w:sz w:val="26"/>
          <w:szCs w:val="26"/>
        </w:rPr>
      </w:r>
      <w:bookmarkStart w:id="0" w:name="_GoBack"/>
      <w:r/>
      <w:bookmarkEnd w:id="0"/>
      <w:r>
        <w:rPr>
          <w:sz w:val="26"/>
          <w:szCs w:val="26"/>
        </w:rPr>
        <w:t xml:space="preserve">»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7143"/>
        <w:gridCol w:w="187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N п/п</w:t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4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Предполагает ли проект нормативного правового акта</w:t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ДА/НЕТ</w:t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1</w:t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43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предполагает установление новых или изменение ранее предусмотренных обязанностей, запретов и ограничений для субъектов предпринимательской деятельности, исходя из того, что предпринимательской является самостоятельная, осуществляемая на свой риск деятельно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НЕТ</w:t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</w:t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43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предполагает установление новых или изменение ранее предусмотренных обязательных требований, запретов и ограничений для субъектов иной экономической деятельности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НЕТ</w:t>
            </w:r>
            <w:r>
              <w:rPr>
                <w:rFonts w:eastAsia="Calibri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3</w:t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43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предполагает установление новых или изменение ранее предусмотренных обязанностей, запретов и ограничений для субъектов инвестиционной деятельности, исходя из того, что инвестиционной является деятельность по вложению денежных средств, ценных бумаг, иного и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мущества, в том числе имущественных прав, иных прав, имеющих денежную оценку, вкладываемых в объекты предпринимательской и (или) иной деятельности в целях получения прибыли и (или) достижения иного полезного эффекта, и осуществлению практических действий в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целях получения прибыли и (или) достижения иного полезного эффекта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</w:r>
            <w:r>
              <w:rPr>
                <w:rFonts w:eastAsiaTheme="minorHAnsi"/>
                <w:sz w:val="26"/>
                <w:szCs w:val="26"/>
              </w:rPr>
            </w:r>
            <w:r>
              <w:rPr>
                <w:rFonts w:eastAsiaTheme="minorHAnsi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НЕТ</w:t>
            </w:r>
            <w:r>
              <w:rPr>
                <w:rFonts w:eastAsia="Calibri"/>
                <w:sz w:val="26"/>
                <w:szCs w:val="26"/>
              </w:rPr>
            </w:r>
          </w:p>
          <w:p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4</w:t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разработан исключительно в целях приведения отдельных формулировок муниципальных актов, затрагивающих вопросы осуществления предпринимательской и инвестиционной деятельности, в соответствие с федеральным законодательством или региональным законодательством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ДА</w:t>
            </w:r>
            <w:r>
              <w:rPr>
                <w:rFonts w:eastAsia="Calibri"/>
                <w:sz w:val="26"/>
                <w:szCs w:val="26"/>
              </w:rPr>
            </w:r>
          </w:p>
          <w:p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</w:tr>
    </w:tbl>
    <w:p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</w:p>
    <w:p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Требуется   проведение   оценки   регулирующего   воздействия   проекта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муниципального правового акта: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jc w:val="center"/>
        <w:rPr>
          <w:rFonts w:eastAsia="Calibri"/>
          <w:strike/>
          <w:sz w:val="26"/>
          <w:szCs w:val="26"/>
          <w:lang w:eastAsia="en-US"/>
        </w:rPr>
      </w:pPr>
      <w:r>
        <w:rPr>
          <w:rFonts w:eastAsia="Calibri"/>
          <w:strike w:val="0"/>
          <w:sz w:val="26"/>
          <w:szCs w:val="26"/>
          <w:lang w:eastAsia="en-US"/>
        </w:rPr>
        <w:t xml:space="preserve">да</w:t>
      </w:r>
      <w:r>
        <w:rPr>
          <w:rFonts w:eastAsia="Calibri"/>
          <w:sz w:val="26"/>
          <w:szCs w:val="26"/>
          <w:lang w:eastAsia="en-US"/>
        </w:rPr>
        <w:t xml:space="preserve">/</w:t>
      </w:r>
      <w:r>
        <w:rPr>
          <w:rFonts w:eastAsia="Calibri"/>
          <w:strike/>
          <w:sz w:val="26"/>
          <w:szCs w:val="26"/>
          <w:lang w:eastAsia="en-US"/>
        </w:rPr>
        <w:t xml:space="preserve">нет</w:t>
      </w:r>
      <w:r>
        <w:rPr>
          <w:rFonts w:eastAsia="Calibri"/>
          <w:strike/>
          <w:sz w:val="26"/>
          <w:szCs w:val="26"/>
          <w:lang w:eastAsia="en-US"/>
        </w:rPr>
      </w:r>
      <w:r>
        <w:rPr>
          <w:rFonts w:eastAsia="Calibri"/>
          <w:strike/>
          <w:sz w:val="26"/>
          <w:szCs w:val="26"/>
          <w:lang w:eastAsia="en-US"/>
        </w:rPr>
      </w:r>
    </w:p>
    <w:p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</w:p>
    <w:p>
      <w:pPr>
        <w:tabs>
          <w:tab w:val="left" w:pos="723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ачальник</w:t>
      </w:r>
      <w:r>
        <w:rPr>
          <w:sz w:val="26"/>
          <w:szCs w:val="26"/>
        </w:rPr>
        <w:t xml:space="preserve"> Управления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tabs>
          <w:tab w:val="left" w:pos="7230" w:leader="none"/>
        </w:tabs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архитектуры и</w:t>
      </w:r>
      <w:r>
        <w:rPr>
          <w:sz w:val="26"/>
          <w:szCs w:val="26"/>
        </w:rPr>
        <w:t xml:space="preserve"> г</w:t>
      </w:r>
      <w:r>
        <w:rPr>
          <w:sz w:val="26"/>
          <w:szCs w:val="26"/>
        </w:rPr>
        <w:t xml:space="preserve">радостроительства</w:t>
      </w:r>
      <w:r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</w:rPr>
        <w:t xml:space="preserve">А. В. Козырев</w:t>
      </w: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</w:p>
    <w:sectPr>
      <w:footnotePr/>
      <w:endnotePr/>
      <w:type w:val="nextPage"/>
      <w:pgSz w:w="11906" w:h="16838" w:orient="portrait"/>
      <w:pgMar w:top="1134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Normal"/>
    <w:pPr>
      <w:spacing w:after="0" w:line="240" w:lineRule="auto"/>
    </w:pPr>
    <w:rPr>
      <w:rFonts w:ascii="Times New Roman" w:hAnsi="Times New Roman" w:eastAsia="Calibri" w:cs="Times New Roman"/>
      <w:sz w:val="24"/>
      <w:szCs w:val="24"/>
    </w:rPr>
  </w:style>
  <w:style w:type="paragraph" w:styleId="837">
    <w:name w:val="Balloon Text"/>
    <w:basedOn w:val="832"/>
    <w:link w:val="83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8" w:customStyle="1">
    <w:name w:val="Текст выноски Знак"/>
    <w:basedOn w:val="833"/>
    <w:link w:val="837"/>
    <w:uiPriority w:val="99"/>
    <w:semiHidden/>
    <w:rPr>
      <w:rFonts w:ascii="Segoe UI" w:hAnsi="Segoe UI" w:eastAsia="Times New Roman" w:cs="Segoe UI"/>
      <w:sz w:val="18"/>
      <w:szCs w:val="18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Сахарова Наталья Александровна</dc:creator>
  <cp:revision>6</cp:revision>
  <dcterms:created xsi:type="dcterms:W3CDTF">2021-07-23T06:55:00Z</dcterms:created>
  <dcterms:modified xsi:type="dcterms:W3CDTF">2025-04-28T12:12:53Z</dcterms:modified>
</cp:coreProperties>
</file>