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4"/>
        </w:rPr>
        <w:t xml:space="preserve">Пояснительная записка к проекту постановления Администрации города Костромы «Об утверждении документации по планировке </w:t>
      </w:r>
      <w:r>
        <w:rPr>
          <w:rFonts w:eastAsia="Calibri" w:cs="Times New Roman" w:ascii="Times New Roman" w:hAnsi="Times New Roman"/>
          <w:b/>
          <w:bCs/>
          <w:color w:val="000000"/>
          <w:sz w:val="26"/>
          <w:szCs w:val="26"/>
          <w:u w:val="none"/>
          <w:lang w:eastAsia="en-US"/>
        </w:rPr>
        <w:t xml:space="preserve">территории,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0"/>
          <w:sz w:val="26"/>
          <w:szCs w:val="24"/>
          <w:highlight w:val="white"/>
          <w:u w:val="none"/>
          <w:lang w:val="ru-RU" w:eastAsia="ar-SA" w:bidi="ar-SA"/>
        </w:rPr>
        <w:t xml:space="preserve">ограниченной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0"/>
          <w:sz w:val="26"/>
          <w:szCs w:val="24"/>
          <w:highlight w:val="white"/>
          <w:u w:val="none"/>
          <w:lang w:val="ru-RU" w:eastAsia="ar-SA" w:bidi="ar-SA"/>
        </w:rPr>
        <w:t>улицей Никитской, площадью Широкора В. Ф., улицами Титова, Советской, проездом Лазаревским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>»</w:t>
      </w:r>
    </w:p>
    <w:p>
      <w:pPr>
        <w:pStyle w:val="Normal"/>
        <w:shd w:val="clear" w:fill="FFFFFF"/>
        <w:jc w:val="center"/>
        <w:rPr/>
      </w:pPr>
      <w:r>
        <w:rPr/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Сведения о проблеме, на решение которой направлено предлагаемое правовое регулирование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Принятие проекта постановления Администрации города Костромы «Об утверждении документации по планировке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u w:val="none"/>
          <w:lang w:val="ru-RU" w:eastAsia="en-US" w:bidi="ar-SA"/>
        </w:rPr>
        <w:t xml:space="preserve">территории,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4"/>
          <w:highlight w:val="white"/>
          <w:u w:val="none"/>
          <w:lang w:val="ru-RU" w:eastAsia="ar-SA" w:bidi="ar-SA"/>
        </w:rPr>
        <w:t xml:space="preserve">ограниченной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4"/>
          <w:highlight w:val="white"/>
          <w:u w:val="none"/>
          <w:lang w:val="ru-RU" w:eastAsia="ar-SA" w:bidi="ar-SA"/>
        </w:rPr>
        <w:t>улицей Никитской, площадью Широкора В. Ф., улицами Титова, Советской, проездом Лазаревским</w:t>
      </w: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»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(далее – Проект) обусловлено намерением заинтересованн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ых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лиц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 xml:space="preserve">в реализации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 xml:space="preserve">масштабных инвестиционных проектов по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>строительств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>а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 xml:space="preserve">объектов жилого назначения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и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 xml:space="preserve"> общественно-делового управления, а также реализация органом местного самоуправления мероприятия по строительству объекта местного значения в области дополнительного образования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 Сведения о цели предлагаемого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Целями принятия Проекта являются:</w:t>
      </w:r>
    </w:p>
    <w:p>
      <w:pPr>
        <w:pStyle w:val="Normal"/>
        <w:widowControl/>
        <w:shd w:val="clear" w:fill="FFFFFF"/>
        <w:ind w:hanging="0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         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- определени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 xml:space="preserve">е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элемент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а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планировочной структуры;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 xml:space="preserve">-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 xml:space="preserve">определение границ зоны планируемого размещения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объект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ов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 xml:space="preserve"> капитального строительства жилого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 xml:space="preserve">и общественного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назначения;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- определение характеристик планируемого развития территории;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 xml:space="preserve">-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реализация положений Генерального плана города Костромы;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- образование земельных участков под объектами капитального строительства;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- благоустройство территорий общего пользования.</w:t>
      </w:r>
    </w:p>
    <w:p>
      <w:pPr>
        <w:pStyle w:val="Normal"/>
        <w:widowControl/>
        <w:shd w:val="clear" w:fill="FFFFFF"/>
        <w:ind w:firstLine="851"/>
        <w:jc w:val="both"/>
        <w:rPr/>
      </w:pPr>
      <w:r>
        <w:rPr>
          <w:rFonts w:ascii="Times New Roman" w:hAnsi="Times New Roman"/>
          <w:i/>
          <w:sz w:val="26"/>
          <w:szCs w:val="24"/>
        </w:rPr>
        <w:t>3.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регулированием, с указанием обязанностей, запретов, ограничений, которые предполагается возложить на названных субъектов, и (или) описание предполагаемых изменений в содержании существующих обязанностей, запретов, ограничений.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юридические лица,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орган местного самоуправления,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>осуществляющие строительную деятельность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. 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4.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в части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установления границ зон планируемого размещения объектов капитального строительства,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установления видов разрешенного использования земельных участков, определения характеристик планируемого развития территорий, </w:t>
      </w:r>
      <w:r>
        <w:rPr>
          <w:rFonts w:eastAsia="Times New Roman" w:cs="Times New Roman" w:ascii="Times New Roman" w:hAnsi="Times New Roman"/>
          <w:color w:val="000000"/>
          <w:sz w:val="26"/>
        </w:rPr>
        <w:t>в отношении разработанного проекта установлена средняя степень регулирующего воздействия.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/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5. </w:t>
      </w:r>
      <w:r>
        <w:rPr>
          <w:rFonts w:eastAsia="Calibri" w:ascii="Times New Roman" w:hAnsi="Times New Roman" w:eastAsiaTheme="minorHAnsi"/>
          <w:i/>
          <w:sz w:val="26"/>
          <w:szCs w:val="26"/>
          <w:lang w:eastAsia="en-US"/>
        </w:rPr>
        <w:t>Сравнительный анализ возможных вариантов решения</w:t>
      </w:r>
      <w:r>
        <w:rPr>
          <w:rFonts w:eastAsia="Calibri" w:ascii="Times New Roman" w:hAnsi="Times New Roman" w:eastAsiaTheme="minorHAnsi"/>
          <w:i/>
          <w:iCs/>
          <w:sz w:val="26"/>
          <w:szCs w:val="26"/>
          <w:lang w:eastAsia="en-US"/>
        </w:rPr>
        <w:t xml:space="preserve"> проблемы, обоснование и ожидаемый результат выбранного варианта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Так как в соответствии с Градостроительным кодексом Российской Федерации определение границ элементов планировочной структуры, границ зон планируемого размещения объектов капитального строительства,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установление характеристик планируемого развития территорий, образование земельных участков под планируемыми объектами капитального строительства,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может осуществляться только на основании утвержденной документации по планировке территории, иных способов решения проблемы не существует.</w:t>
      </w:r>
    </w:p>
    <w:p>
      <w:pPr>
        <w:pStyle w:val="Normal"/>
        <w:shd w:val="clear" w:fill="FFFFFF"/>
        <w:spacing w:before="0" w:after="0"/>
        <w:ind w:left="0" w:right="0" w:firstLine="709"/>
        <w:jc w:val="both"/>
        <w:rPr>
          <w:bCs/>
          <w:i/>
          <w:i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</w:rPr>
        <w:t>6) ожидаемый результат выбранного варианта правового регулирования.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Достигнутым результатом решения данной проблемы является подготовленный Проект, предусматривающий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реализацию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положений, предусмотренных Генеральным планом города Костромы в области развития объектов образования, реализацию масштабных инвестиционных проектов по строительству объектов жилого и общественно-делового назначения.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7) В рамках проведения оценки регулирующего воздействия в период с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1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6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 xml:space="preserve"> по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20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 xml:space="preserve"> марта 2026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года предлагаемый Проект размещается на сайте Администрации города Костромы в информационно-телекоммуникационной сети «Интернет» для проведения публичных консультаций. В рамках проведения публичных консультаций принимаются предложения и замечания. </w:t>
      </w:r>
    </w:p>
    <w:p>
      <w:pPr>
        <w:pStyle w:val="Normal"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807"/>
    <w:uiPriority w:val="9"/>
    <w:qFormat/>
    <w:pPr>
      <w:keepNext w:val="true"/>
      <w:keepLines/>
      <w:shd w:val="clear" w:fill="FFFFFF"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64"/>
    <w:uiPriority w:val="99"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11" w:customStyle="1">
    <w:name w:val="Заголовок 1 Знак"/>
    <w:basedOn w:val="DefaultParagraphFont"/>
    <w:link w:val="794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Style10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1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  <w:sz w:val="2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yle13">
    <w:name w:val="Символ нумерации"/>
    <w:qFormat/>
    <w:rPr/>
  </w:style>
  <w:style w:type="character" w:styleId="Style14">
    <w:name w:val="Гиперссылка"/>
    <w:qFormat/>
    <w:rPr>
      <w:color w:val="0000FF"/>
      <w:u w:val="single"/>
    </w:rPr>
  </w:style>
  <w:style w:type="character" w:styleId="Style15">
    <w:name w:val="Без интервала Знак"/>
    <w:qFormat/>
    <w:rPr>
      <w:rFonts w:ascii="Calibri" w:hAnsi="Calibri" w:eastAsia="Calibri"/>
      <w:sz w:val="22"/>
      <w:szCs w:val="22"/>
    </w:rPr>
  </w:style>
  <w:style w:type="character" w:styleId="Applestylespan">
    <w:name w:val="apple-style-span"/>
    <w:qFormat/>
    <w:rPr/>
  </w:style>
  <w:style w:type="character" w:styleId="Style16">
    <w:name w:val="Текст Знак"/>
    <w:qFormat/>
    <w:rPr>
      <w:sz w:val="24"/>
    </w:rPr>
  </w:style>
  <w:style w:type="character" w:styleId="Blk">
    <w:name w:val="blk"/>
    <w:qFormat/>
    <w:rPr/>
  </w:style>
  <w:style w:type="character" w:styleId="Hl">
    <w:name w:val="hl"/>
    <w:qFormat/>
    <w:rPr/>
  </w:style>
  <w:style w:type="character" w:styleId="Style17">
    <w:name w:val="Основной шрифт абзаца"/>
    <w:qFormat/>
    <w:rPr/>
  </w:style>
  <w:style w:type="paragraph" w:styleId="Style18">
    <w:name w:val="Заголовок"/>
    <w:basedOn w:val="Normal"/>
    <w:next w:val="Style19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20">
    <w:name w:val="List"/>
    <w:basedOn w:val="Style19"/>
    <w:pPr>
      <w:shd w:val="clear" w:fill="FFFFFF"/>
    </w:pPr>
    <w:rPr>
      <w:rFonts w:cs="Arial"/>
    </w:rPr>
  </w:style>
  <w:style w:type="paragraph" w:styleId="Style21">
    <w:name w:val="Caption"/>
    <w:basedOn w:val="Normal"/>
    <w:link w:val="660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3">
    <w:name w:val="Endnote Text"/>
    <w:basedOn w:val="Normal"/>
    <w:link w:val="790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4">
    <w:name w:val="Title"/>
    <w:basedOn w:val="1"/>
    <w:qFormat/>
    <w:pPr>
      <w:keepLines w:val="false"/>
      <w:widowControl/>
      <w:shd w:val="clear" w:fill="FFFFFF"/>
      <w:spacing w:before="0" w:after="0"/>
      <w:ind w:left="884" w:hanging="851"/>
      <w:jc w:val="both"/>
    </w:pPr>
    <w:rPr>
      <w:rFonts w:ascii="Times New Roman" w:hAnsi="Times New Roman" w:eastAsia="Times New Roman" w:cs="Times New Roman"/>
      <w:b w:val="false"/>
      <w:color w:val="auto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ar-SA" w:bidi="ar-SA"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5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6" w:customStyle="1">
    <w:name w:val="Заголовок таблицы"/>
    <w:basedOn w:val="Style25"/>
    <w:qFormat/>
    <w:pPr>
      <w:shd w:val="clear" w:fill="FFFFFF"/>
      <w:jc w:val="center"/>
    </w:pPr>
    <w:rPr>
      <w:b/>
      <w:bCs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18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zh-CN" w:bidi="ar-SA"/>
    </w:rPr>
  </w:style>
  <w:style w:type="paragraph" w:styleId="Style27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pPr>
      <w:shd w:val="clear" w:fill="FFFFFF"/>
    </w:pPr>
    <w:rPr/>
  </w:style>
  <w:style w:type="paragraph" w:styleId="Style29">
    <w:name w:val="Header"/>
    <w:basedOn w:val="Normal"/>
    <w:pPr>
      <w:shd w:val="clear" w:fill="FFFFFF"/>
    </w:pPr>
    <w:rPr/>
  </w:style>
  <w:style w:type="paragraph" w:styleId="Style30" w:customStyle="1">
    <w:name w:val="Содержимое врезки"/>
    <w:basedOn w:val="Normal"/>
    <w:qFormat/>
    <w:pPr>
      <w:shd w:val="clear" w:fill="FFFFFF"/>
    </w:pPr>
    <w:rPr/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31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3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Style33" w:customStyle="1">
    <w:name w:val="Другое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firstLine="40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ru-RU"/>
      <w14:ligatures w14:val="none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auto"/>
      <w:kern w:val="0"/>
      <w:sz w:val="21"/>
      <w:szCs w:val="24"/>
      <w:lang w:val="ru-RU" w:eastAsia="hi-IN" w:bidi="hi-IN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0"/>
      <w:sz w:val="22"/>
      <w:szCs w:val="22"/>
      <w:lang w:val="ru-RU" w:eastAsia="hi-IN" w:bidi="hi-IN"/>
    </w:rPr>
  </w:style>
  <w:style w:type="paragraph" w:styleId="Style34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0"/>
      <w:sz w:val="22"/>
      <w:szCs w:val="22"/>
      <w:lang w:val="ru-RU" w:eastAsia="hi-IN" w:bidi="hi-IN"/>
    </w:rPr>
  </w:style>
  <w:style w:type="paragraph" w:styleId="Style35">
    <w:name w:val="Обычный (веб)"/>
    <w:qFormat/>
    <w:pPr>
      <w:widowControl/>
      <w:shd w:fill="FFFFFF"/>
      <w:suppressAutoHyphens w:val="true"/>
      <w:bidi w:val="0"/>
      <w:spacing w:before="280" w:after="280"/>
      <w:jc w:val="left"/>
    </w:pPr>
    <w:rPr>
      <w:rFonts w:ascii="Times New Roman" w:hAnsi="Times New Roman" w:eastAsia="Times New Roman" w:cs="Arial"/>
      <w:color w:val="auto"/>
      <w:kern w:val="0"/>
      <w:sz w:val="18"/>
      <w:szCs w:val="24"/>
      <w:lang w:val="ru-RU" w:eastAsia="ar-SA" w:bidi="hi-IN"/>
    </w:rPr>
  </w:style>
  <w:style w:type="paragraph" w:styleId="Style36">
    <w:name w:val="Текст выноски"/>
    <w:qFormat/>
    <w:pPr>
      <w:widowControl w:val="false"/>
      <w:shd w:fill="FFFFFF"/>
      <w:suppressAutoHyphens w:val="true"/>
      <w:bidi w:val="0"/>
      <w:spacing w:before="0" w:after="0"/>
      <w:jc w:val="left"/>
    </w:pPr>
    <w:rPr>
      <w:rFonts w:ascii="Tahoma" w:hAnsi="Tahoma" w:eastAsia="Times New Roman" w:cs="Arial"/>
      <w:color w:val="auto"/>
      <w:kern w:val="0"/>
      <w:sz w:val="16"/>
      <w:szCs w:val="16"/>
      <w:lang w:val="ru-RU" w:eastAsia="ar-SA" w:bidi="hi-IN"/>
    </w:rPr>
  </w:style>
  <w:style w:type="paragraph" w:styleId="Style37">
    <w:name w:val="Обычный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Arial" w:hAnsi="Arial" w:eastAsia="Times New Roman" w:cs="Liberation Serif"/>
      <w:color w:val="auto"/>
      <w:spacing w:val="0"/>
      <w:kern w:val="0"/>
      <w:sz w:val="18"/>
      <w:szCs w:val="18"/>
      <w:lang w:val="ru-RU" w:eastAsia="ar-SA" w:bidi="hi-IN"/>
    </w:rPr>
  </w:style>
  <w:style w:type="paragraph" w:styleId="Style38">
    <w:name w:val="Абзац списка"/>
    <w:basedOn w:val="Normal"/>
    <w:qFormat/>
    <w:pPr>
      <w:widowControl/>
      <w:shd w:val="clear" w:fill="FFFFFF"/>
      <w:spacing w:lineRule="auto" w:line="254" w:before="0" w:after="160"/>
      <w:ind w:left="720" w:hanging="0"/>
      <w:contextualSpacing/>
    </w:pPr>
    <w:rPr>
      <w:rFonts w:ascii="Calibri" w:hAnsi="Calibri" w:eastAsia="Times New Roman"/>
      <w:sz w:val="22"/>
      <w:szCs w:val="22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LibreOffice/6.4.4.2$Windows_x86 LibreOffice_project/3d775be2011f3886db32dfd395a6a6d1ca2630ff</Application>
  <Pages>2</Pages>
  <Words>443</Words>
  <Characters>3757</Characters>
  <CharactersWithSpaces>4201</CharactersWithSpaces>
  <Paragraphs>20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Наталья Александровна</dc:creator>
  <dc:description/>
  <dc:language>ru-RU</dc:language>
  <cp:lastModifiedBy/>
  <dcterms:modified xsi:type="dcterms:W3CDTF">2026-03-16T13:39:01Z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