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 xml:space="preserve">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u w:val="none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highlight w:val="white"/>
          <w:lang w:eastAsia="ar-SA"/>
        </w:rPr>
        <w:t>граниченной границей особо охраняемой природной территории регионального значения туристско-рекреационной местности «Парк «Берендеевка»», границей территориальной зоны малоэтажной многоквартирной жилой застройки Ж-2 по улице Ленина</w:t>
      </w:r>
      <w:r>
        <w:rPr>
          <w:rFonts w:ascii="Times New Roman" w:hAnsi="Times New Roman"/>
          <w:b w:val="false"/>
          <w:bCs w:val="false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в виде проекта планировки территории </w:t>
      </w:r>
      <w:r>
        <w:rPr>
          <w:rFonts w:ascii="Times New Roman" w:hAnsi="Times New Roman"/>
          <w:sz w:val="26"/>
          <w:szCs w:val="26"/>
        </w:rPr>
        <w:t>с проектом межевания территории в составе проекта планировки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New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Без интервала Знак"/>
    <w:qFormat/>
    <w:rPr>
      <w:rFonts w:ascii="Calibri" w:hAnsi="Calibri" w:eastAsia="Calibri"/>
      <w:sz w:val="22"/>
      <w:szCs w:val="22"/>
    </w:rPr>
  </w:style>
  <w:style w:type="character" w:styleId="Applestylespan">
    <w:name w:val="apple-style-span"/>
    <w:qFormat/>
    <w:rPr/>
  </w:style>
  <w:style w:type="character" w:styleId="Style13">
    <w:name w:val="Текст Знак"/>
    <w:qFormat/>
    <w:rPr>
      <w:sz w:val="24"/>
    </w:rPr>
  </w:style>
  <w:style w:type="character" w:styleId="Blk">
    <w:name w:val="blk"/>
    <w:qFormat/>
    <w:rPr/>
  </w:style>
  <w:style w:type="character" w:styleId="Hl">
    <w:name w:val="hl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7">
    <w:name w:val="List"/>
    <w:basedOn w:val="Style16"/>
    <w:pPr>
      <w:shd w:val="clear" w:fill="FFFFFF"/>
    </w:pPr>
    <w:rPr>
      <w:rFonts w:cs="Arial"/>
    </w:rPr>
  </w:style>
  <w:style w:type="paragraph" w:styleId="Style18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0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1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22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3" w:customStyle="1">
    <w:name w:val="Заголовок таблицы"/>
    <w:basedOn w:val="Style22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4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</w:pPr>
    <w:rPr/>
  </w:style>
  <w:style w:type="paragraph" w:styleId="Style27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1"/>
      <w:szCs w:val="24"/>
      <w:lang w:val="ru-RU" w:eastAsia="hi-I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0"/>
      <w:sz w:val="18"/>
      <w:szCs w:val="20"/>
      <w:lang w:val="ru-RU" w:eastAsia="hi-I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b/>
      <w:color w:val="auto"/>
      <w:kern w:val="0"/>
      <w:sz w:val="18"/>
      <w:szCs w:val="20"/>
      <w:lang w:val="ru-RU" w:eastAsia="hi-IN" w:bidi="hi-IN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NewRoman" w:hAnsi="TimesNewRoman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sz w:val="24"/>
      <w:szCs w:val="20"/>
      <w:u w:val="none"/>
      <w:lang w:val="en-US" w:eastAsia="hi-IN" w:bidi="hi-IN"/>
    </w:rPr>
  </w:style>
  <w:style w:type="paragraph" w:styleId="Style30">
    <w:name w:val="Обычный (веб)"/>
    <w:qFormat/>
    <w:pPr>
      <w:widowControl/>
      <w:shd w:fill="FFFFFF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0"/>
      <w:sz w:val="18"/>
      <w:szCs w:val="24"/>
      <w:lang w:eastAsia="ar-SA" w:val="ru-RU" w:bidi="hi-IN"/>
    </w:rPr>
  </w:style>
  <w:style w:type="paragraph" w:styleId="Style31">
    <w:name w:val="Текст выноски"/>
    <w:qFormat/>
    <w:pPr>
      <w:widowControl w:val="false"/>
      <w:shd w:fill="FFFFFF"/>
      <w:bidi w:val="0"/>
      <w:spacing w:before="0" w:after="0"/>
      <w:jc w:val="left"/>
    </w:pPr>
    <w:rPr>
      <w:rFonts w:ascii="Tahoma" w:hAnsi="Tahoma" w:eastAsia="Times New Roman" w:cs="Arial"/>
      <w:color w:val="auto"/>
      <w:kern w:val="0"/>
      <w:sz w:val="16"/>
      <w:szCs w:val="16"/>
      <w:lang w:eastAsia="ar-SA" w:val="ru-RU" w:bidi="hi-IN"/>
    </w:rPr>
  </w:style>
  <w:style w:type="paragraph" w:styleId="Style32">
    <w:name w:val="Обычный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Liberation Serif"/>
      <w:color w:val="auto"/>
      <w:spacing w:val="0"/>
      <w:kern w:val="0"/>
      <w:sz w:val="18"/>
      <w:szCs w:val="18"/>
      <w:lang w:val="ru-RU" w:eastAsia="ar-SA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376</Words>
  <Characters>4214</Characters>
  <CharactersWithSpaces>4723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Кристина Евгеньевна</dc:creator>
  <dc:description/>
  <dc:language>ru-RU</dc:language>
  <cp:lastModifiedBy/>
  <dcterms:modified xsi:type="dcterms:W3CDTF">2026-03-03T12:17:36Z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