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72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договора аренды земельного участка, расположенного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17</w:t>
      </w:r>
      <w:r>
        <w:rPr>
          <w:rFonts w:ascii="Times New Roman" w:hAnsi="Times New Roman"/>
          <w:b/>
          <w:bCs/>
          <w:sz w:val="20"/>
          <w:szCs w:val="20"/>
        </w:rPr>
        <w:t xml:space="preserve"> декабря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договора аренды земельного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1 сентября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2025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2036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 на право заключени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переулок Газетный, земельный участок 2»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адрес</w:t>
      </w:r>
      <w:r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: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переулок Газетный, земельный участок 2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площадь</w:t>
      </w:r>
      <w:r>
        <w:rPr>
          <w:rFonts w:ascii="Times New Roman" w:hAnsi="Times New Roman" w:cs="Times New Roman"/>
          <w:sz w:val="20"/>
          <w:szCs w:val="20"/>
        </w:rPr>
        <w:t xml:space="preserve">:</w:t>
      </w:r>
      <w:r>
        <w:rPr>
          <w:rFonts w:ascii="Times New Roman" w:hAnsi="Times New Roman" w:cs="Times New Roman"/>
          <w:sz w:val="20"/>
          <w:szCs w:val="20"/>
        </w:rPr>
        <w:t xml:space="preserve"> 879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к</w:t>
      </w:r>
      <w:r>
        <w:rPr>
          <w:rFonts w:ascii="Times New Roman" w:hAnsi="Times New Roman" w:cs="Times New Roman"/>
          <w:sz w:val="20"/>
          <w:szCs w:val="20"/>
        </w:rPr>
        <w:t xml:space="preserve">в.м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кадастровый номер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44:27:040719:394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категория земель</w:t>
      </w:r>
      <w:r>
        <w:rPr>
          <w:rFonts w:ascii="Times New Roman" w:hAnsi="Times New Roman" w:cs="Times New Roman"/>
          <w:sz w:val="20"/>
          <w:szCs w:val="20"/>
        </w:rPr>
        <w:t xml:space="preserve">: земли населенных пунктов;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разрешенное использова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ние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магазины, историко-культурная деятельность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/>
    </w:p>
    <w:p>
      <w:pPr>
        <w:ind w:firstLine="709"/>
        <w:jc w:val="both"/>
        <w:rPr>
          <w:rFonts w:ascii="Times New Roman" w:hAnsi="Times New Roman" w:cs="Times New Roman"/>
          <w:sz w:val="20"/>
          <w:szCs w:val="20"/>
          <w:highlight w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участок расположен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), 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хранная зона объекта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газоснабжения: «Производственно-технологический комплекс в Костромской области городе Костроме»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44:27-6.4910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 о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хранная зона объекта газоснабжения «Линейный объект -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газопровод низкого давления г.Кострома ул.Лесная к домам №47,49, протяженность трассы 193, 80м, протяженность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трубопроводов 193,80 м»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44:27-6.17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р-н ВЛ 0,4кВ от ТП2 880м (ВЛ-0,4 от ТП2 на р-н Кооперации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(чет)), расположенная на территории Костромской области, Костромского района, г. Кострома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44:27-6.2845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 ч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асть прибрежной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защитной полосы Горьковского водохранилища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44:00-6.49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); ч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асть водоохранной зоны Горьковского водохранилища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44:00-6.311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аций;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  <w:highlight w:val="none"/>
        </w:rPr>
      </w:r>
    </w:p>
    <w:p>
      <w:pPr>
        <w:ind w:left="0" w:right="0" w:firstLine="709"/>
        <w:jc w:val="both"/>
      </w:pPr>
      <w:r>
        <w:rPr>
          <w:rFonts w:ascii="Times New Roman" w:hAnsi="Times New Roman" w:cs="Times New Roman"/>
          <w:sz w:val="20"/>
          <w:szCs w:val="20"/>
          <w:highlight w:val="none"/>
        </w:rPr>
        <w:t xml:space="preserve">Информация о расположении на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земельном участке и (или) на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смежных земельных участках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объектов культурного наследия,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территорий, зон с особыми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условиями использования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территорий, защитных зон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объектов культурного наследия,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исторических поселений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:</w:t>
      </w:r>
      <w:r>
        <w:rPr>
          <w:rFonts w:ascii="Times New Roman" w:hAnsi="Times New Roman" w:cs="Times New Roman"/>
          <w:sz w:val="20"/>
          <w:szCs w:val="20"/>
          <w:highlight w:val="none"/>
        </w:rPr>
      </w:r>
      <w:r/>
    </w:p>
    <w:p>
      <w:pPr>
        <w:ind w:firstLine="709"/>
        <w:jc w:val="both"/>
      </w:pPr>
      <w:r>
        <w:rPr>
          <w:rFonts w:ascii="Times New Roman" w:hAnsi="Times New Roman" w:cs="Times New Roman"/>
          <w:sz w:val="20"/>
          <w:szCs w:val="20"/>
          <w:highlight w:val="none"/>
        </w:rPr>
        <w:t xml:space="preserve">Историческое поселение федерального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значения город Кострома (Приказ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Минкультуры РФ от 04.04.2023 № 839 «Об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утверждении перечня исторических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поселений, имеющих особое значение для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истории и культуры Российской Федерации»,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Приказ Минкультуры России от 12.07.2022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№1195 «Об утверждении предмета охраны,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границ территории и требований к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градостроительным регламентам в границах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территории исторического поселения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федерального значения город Кострома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Костромской области»); о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хранная зона исторической части г.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Костромы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(Постановление главы администрации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Костромской области от 19.12.1997 № 837);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Объект культурного наследия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федерального значения «Участок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культурного слоя на территории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Вознесенского посада (Дебре)»,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XV-XVIII вв.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(постановление главы администрации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Костромской области от 28.10.1999 №470 «Об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отнесении находящихся на территории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Костромской области объектов,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представляющих историко-культурную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ценность, к объектам культурного наследия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регионального значения», зарегистрирован в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едином государственном реестре объектов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культурного наследия (памятников истории и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культуры) народов Российской Федерации на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основании приказа Минкультуры России от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09.10.2015 №7598-р за номером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441440068310006)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</w:rPr>
      </w:r>
      <w:r/>
    </w:p>
    <w:p>
      <w:pPr>
        <w:ind w:firstLine="709"/>
        <w:jc w:val="both"/>
        <w:rPr>
          <w:rFonts w:ascii="Times New Roman" w:hAnsi="Times New Roman"/>
          <w:sz w:val="22"/>
          <w:szCs w:val="22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- </w:t>
      </w:r>
      <w:r>
        <w:rPr>
          <w:rFonts w:ascii="Times New Roman" w:hAnsi="Times New Roman"/>
          <w:b/>
          <w:bCs/>
          <w:sz w:val="20"/>
          <w:szCs w:val="20"/>
        </w:rPr>
        <w:t xml:space="preserve">па</w:t>
      </w:r>
      <w:r>
        <w:rPr>
          <w:rFonts w:ascii="Times New Roman" w:hAnsi="Times New Roman"/>
          <w:b/>
          <w:bCs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b/>
          <w:bCs/>
          <w:sz w:val="20"/>
          <w:szCs w:val="20"/>
        </w:rPr>
        <w:t xml:space="preserve">с</w:t>
      </w:r>
      <w:r>
        <w:rPr>
          <w:rFonts w:ascii="Times New Roman" w:hAnsi="Times New Roman"/>
          <w:b/>
          <w:bCs/>
          <w:sz w:val="20"/>
          <w:szCs w:val="20"/>
        </w:rPr>
        <w:t xml:space="preserve">тва</w:t>
      </w:r>
      <w:r>
        <w:rPr>
          <w:rFonts w:ascii="Times New Roman" w:hAnsi="Times New Roman"/>
          <w:sz w:val="20"/>
          <w:szCs w:val="20"/>
        </w:rPr>
        <w:t xml:space="preserve">: </w:t>
      </w:r>
      <w:r>
        <w:rPr>
          <w:rFonts w:ascii="Times New Roman" w:hAnsi="Times New Roman"/>
          <w:sz w:val="22"/>
          <w:szCs w:val="22"/>
          <w14:ligatures w14:val="none"/>
        </w:rPr>
      </w:r>
      <w:r>
        <w:rPr>
          <w:rFonts w:ascii="Times New Roman" w:hAnsi="Times New Roman"/>
          <w:sz w:val="22"/>
          <w:szCs w:val="22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sz w:val="20"/>
          <w:szCs w:val="20"/>
          <w14:ligatures w14:val="none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магазины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–35; минимальный отступ от границ земельного участка – </w:t>
      </w:r>
      <w:r>
        <w:rPr>
          <w:rFonts w:ascii="Times New Roman" w:hAnsi="Times New Roman" w:cs="Times New Roman"/>
          <w:sz w:val="20"/>
          <w:szCs w:val="20"/>
        </w:rPr>
        <w:t xml:space="preserve"> 3 </w:t>
      </w:r>
      <w:r>
        <w:rPr>
          <w:rFonts w:ascii="Times New Roman" w:hAnsi="Times New Roman" w:cs="Times New Roman"/>
          <w:sz w:val="20"/>
          <w:szCs w:val="20"/>
        </w:rPr>
        <w:t xml:space="preserve">м, </w:t>
      </w:r>
      <w:r>
        <w:rPr>
          <w:rFonts w:ascii="Times New Roman" w:hAnsi="Times New Roman" w:cs="Times New Roman"/>
          <w:sz w:val="20"/>
          <w:szCs w:val="20"/>
        </w:rPr>
        <w:t xml:space="preserve">отступ </w:t>
      </w:r>
      <w:r>
        <w:rPr>
          <w:rFonts w:ascii="Times New Roman" w:hAnsi="Times New Roman" w:cs="Times New Roman"/>
          <w:sz w:val="20"/>
          <w:szCs w:val="20"/>
        </w:rPr>
        <w:t xml:space="preserve">объекта </w:t>
      </w:r>
      <w:r>
        <w:rPr>
          <w:rFonts w:ascii="Times New Roman" w:hAnsi="Times New Roman" w:cs="Times New Roman"/>
          <w:sz w:val="20"/>
          <w:szCs w:val="20"/>
        </w:rPr>
        <w:t xml:space="preserve">капитальног</w:t>
      </w:r>
      <w:r>
        <w:rPr>
          <w:rFonts w:ascii="Times New Roman" w:hAnsi="Times New Roman" w:cs="Times New Roman"/>
          <w:sz w:val="20"/>
          <w:szCs w:val="20"/>
        </w:rPr>
        <w:t xml:space="preserve">о </w:t>
      </w:r>
      <w:r>
        <w:rPr>
          <w:rFonts w:ascii="Times New Roman" w:hAnsi="Times New Roman" w:cs="Times New Roman"/>
          <w:sz w:val="20"/>
          <w:szCs w:val="20"/>
        </w:rPr>
        <w:t xml:space="preserve">строительст</w:t>
      </w:r>
      <w:r>
        <w:rPr>
          <w:rFonts w:ascii="Times New Roman" w:hAnsi="Times New Roman" w:cs="Times New Roman"/>
          <w:sz w:val="20"/>
          <w:szCs w:val="20"/>
        </w:rPr>
        <w:t xml:space="preserve">ва от </w:t>
      </w:r>
      <w:r>
        <w:rPr>
          <w:rFonts w:ascii="Times New Roman" w:hAnsi="Times New Roman" w:cs="Times New Roman"/>
          <w:sz w:val="20"/>
          <w:szCs w:val="20"/>
        </w:rPr>
        <w:t xml:space="preserve">охраняемых </w:t>
      </w:r>
      <w:r>
        <w:rPr>
          <w:rFonts w:ascii="Times New Roman" w:hAnsi="Times New Roman" w:cs="Times New Roman"/>
          <w:sz w:val="20"/>
          <w:szCs w:val="20"/>
        </w:rPr>
        <w:t xml:space="preserve">исторически</w:t>
      </w:r>
      <w:r>
        <w:rPr>
          <w:rFonts w:ascii="Times New Roman" w:hAnsi="Times New Roman" w:cs="Times New Roman"/>
          <w:sz w:val="20"/>
          <w:szCs w:val="20"/>
        </w:rPr>
        <w:t xml:space="preserve">х красных </w:t>
      </w:r>
      <w:r>
        <w:rPr>
          <w:rFonts w:ascii="Times New Roman" w:hAnsi="Times New Roman" w:cs="Times New Roman"/>
          <w:sz w:val="20"/>
          <w:szCs w:val="20"/>
        </w:rPr>
        <w:t xml:space="preserve">линий </w:t>
      </w:r>
      <w:r>
        <w:rPr>
          <w:rFonts w:ascii="Times New Roman" w:hAnsi="Times New Roman" w:cs="Times New Roman"/>
          <w:sz w:val="20"/>
          <w:szCs w:val="20"/>
        </w:rPr>
        <w:t xml:space="preserve">кварталов - </w:t>
      </w:r>
      <w:r>
        <w:rPr>
          <w:rFonts w:ascii="Times New Roman" w:hAnsi="Times New Roman" w:cs="Times New Roman"/>
          <w:sz w:val="20"/>
          <w:szCs w:val="20"/>
        </w:rPr>
        <w:t xml:space="preserve">до 6 м, </w:t>
      </w:r>
      <w:r>
        <w:rPr>
          <w:rFonts w:ascii="Times New Roman" w:hAnsi="Times New Roman" w:cs="Times New Roman"/>
          <w:sz w:val="20"/>
          <w:szCs w:val="20"/>
        </w:rPr>
        <w:t xml:space="preserve">строго по </w:t>
      </w:r>
      <w:r>
        <w:rPr>
          <w:rFonts w:ascii="Times New Roman" w:hAnsi="Times New Roman" w:cs="Times New Roman"/>
          <w:sz w:val="20"/>
          <w:szCs w:val="20"/>
        </w:rPr>
        <w:t xml:space="preserve">историческо</w:t>
      </w:r>
      <w:r>
        <w:rPr>
          <w:rFonts w:ascii="Times New Roman" w:hAnsi="Times New Roman" w:cs="Times New Roman"/>
          <w:sz w:val="20"/>
          <w:szCs w:val="20"/>
        </w:rPr>
        <w:t xml:space="preserve">й линии </w:t>
      </w:r>
      <w:r>
        <w:rPr>
          <w:rFonts w:ascii="Times New Roman" w:hAnsi="Times New Roman" w:cs="Times New Roman"/>
          <w:sz w:val="20"/>
          <w:szCs w:val="20"/>
        </w:rPr>
        <w:t xml:space="preserve">застройки, </w:t>
      </w:r>
      <w:r>
        <w:rPr>
          <w:rFonts w:ascii="Times New Roman" w:hAnsi="Times New Roman" w:cs="Times New Roman"/>
          <w:sz w:val="20"/>
          <w:szCs w:val="20"/>
        </w:rPr>
        <w:t xml:space="preserve">кроме </w:t>
      </w:r>
      <w:r>
        <w:rPr>
          <w:rFonts w:ascii="Times New Roman" w:hAnsi="Times New Roman" w:cs="Times New Roman"/>
          <w:sz w:val="20"/>
          <w:szCs w:val="20"/>
        </w:rPr>
        <w:t xml:space="preserve">зданий, </w:t>
      </w:r>
      <w:r>
        <w:rPr>
          <w:rFonts w:ascii="Times New Roman" w:hAnsi="Times New Roman" w:cs="Times New Roman"/>
          <w:sz w:val="20"/>
          <w:szCs w:val="20"/>
        </w:rPr>
        <w:t xml:space="preserve">расположен</w:t>
      </w:r>
      <w:r>
        <w:rPr>
          <w:rFonts w:ascii="Times New Roman" w:hAnsi="Times New Roman" w:cs="Times New Roman"/>
          <w:sz w:val="20"/>
          <w:szCs w:val="20"/>
        </w:rPr>
        <w:t xml:space="preserve">ных в </w:t>
      </w:r>
      <w:r>
        <w:rPr>
          <w:rFonts w:ascii="Times New Roman" w:hAnsi="Times New Roman" w:cs="Times New Roman"/>
          <w:sz w:val="20"/>
          <w:szCs w:val="20"/>
        </w:rPr>
        <w:t xml:space="preserve">глубине </w:t>
      </w:r>
      <w:r>
        <w:rPr>
          <w:rFonts w:ascii="Times New Roman" w:hAnsi="Times New Roman" w:cs="Times New Roman"/>
          <w:sz w:val="20"/>
          <w:szCs w:val="20"/>
        </w:rPr>
        <w:t xml:space="preserve">квартала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предельн</w:t>
      </w:r>
      <w:r>
        <w:rPr>
          <w:rFonts w:ascii="Times New Roman" w:hAnsi="Times New Roman" w:cs="Times New Roman"/>
          <w:sz w:val="20"/>
          <w:szCs w:val="20"/>
        </w:rPr>
        <w:t xml:space="preserve">ое </w:t>
      </w:r>
      <w:r>
        <w:rPr>
          <w:rFonts w:ascii="Times New Roman" w:hAnsi="Times New Roman" w:cs="Times New Roman"/>
          <w:sz w:val="20"/>
          <w:szCs w:val="20"/>
        </w:rPr>
        <w:t xml:space="preserve">количеств</w:t>
      </w:r>
      <w:r>
        <w:rPr>
          <w:rFonts w:ascii="Times New Roman" w:hAnsi="Times New Roman" w:cs="Times New Roman"/>
          <w:sz w:val="20"/>
          <w:szCs w:val="20"/>
        </w:rPr>
        <w:t xml:space="preserve">о этажей 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3 </w:t>
      </w:r>
      <w:r>
        <w:rPr>
          <w:rFonts w:ascii="Times New Roman" w:hAnsi="Times New Roman" w:cs="Times New Roman"/>
          <w:sz w:val="20"/>
          <w:szCs w:val="20"/>
        </w:rPr>
        <w:t xml:space="preserve">надземны</w:t>
      </w:r>
      <w:r>
        <w:rPr>
          <w:rFonts w:ascii="Times New Roman" w:hAnsi="Times New Roman" w:cs="Times New Roman"/>
          <w:sz w:val="20"/>
          <w:szCs w:val="20"/>
        </w:rPr>
        <w:t xml:space="preserve">х этажа, </w:t>
      </w:r>
      <w:r>
        <w:rPr>
          <w:rFonts w:ascii="Times New Roman" w:hAnsi="Times New Roman" w:cs="Times New Roman"/>
          <w:sz w:val="20"/>
          <w:szCs w:val="20"/>
        </w:rPr>
        <w:t xml:space="preserve">один из </w:t>
      </w:r>
      <w:r>
        <w:rPr>
          <w:rFonts w:ascii="Times New Roman" w:hAnsi="Times New Roman" w:cs="Times New Roman"/>
          <w:sz w:val="20"/>
          <w:szCs w:val="20"/>
        </w:rPr>
        <w:t xml:space="preserve">которых </w:t>
      </w:r>
      <w:r>
        <w:rPr>
          <w:rFonts w:ascii="Times New Roman" w:hAnsi="Times New Roman" w:cs="Times New Roman"/>
          <w:sz w:val="20"/>
          <w:szCs w:val="20"/>
        </w:rPr>
        <w:t xml:space="preserve">мансардн</w:t>
      </w:r>
      <w:r>
        <w:rPr>
          <w:rFonts w:ascii="Times New Roman" w:hAnsi="Times New Roman" w:cs="Times New Roman"/>
          <w:sz w:val="20"/>
          <w:szCs w:val="20"/>
        </w:rPr>
        <w:t xml:space="preserve">ый или </w:t>
      </w:r>
      <w:r>
        <w:rPr>
          <w:rFonts w:ascii="Times New Roman" w:hAnsi="Times New Roman" w:cs="Times New Roman"/>
          <w:sz w:val="20"/>
          <w:szCs w:val="20"/>
        </w:rPr>
        <w:t xml:space="preserve">мезонин, п</w:t>
      </w:r>
      <w:r>
        <w:rPr>
          <w:rFonts w:ascii="Times New Roman" w:hAnsi="Times New Roman" w:cs="Times New Roman"/>
          <w:sz w:val="20"/>
          <w:szCs w:val="20"/>
        </w:rPr>
        <w:t xml:space="preserve">редельна</w:t>
      </w:r>
      <w:r>
        <w:rPr>
          <w:rFonts w:ascii="Times New Roman" w:hAnsi="Times New Roman" w:cs="Times New Roman"/>
          <w:sz w:val="20"/>
          <w:szCs w:val="20"/>
        </w:rPr>
        <w:t xml:space="preserve">я высота </w:t>
      </w:r>
      <w:r>
        <w:rPr>
          <w:rFonts w:ascii="Times New Roman" w:hAnsi="Times New Roman" w:cs="Times New Roman"/>
          <w:sz w:val="20"/>
          <w:szCs w:val="20"/>
        </w:rPr>
        <w:t xml:space="preserve">объекта </w:t>
      </w:r>
      <w:r>
        <w:rPr>
          <w:rFonts w:ascii="Times New Roman" w:hAnsi="Times New Roman" w:cs="Times New Roman"/>
          <w:sz w:val="20"/>
          <w:szCs w:val="20"/>
        </w:rPr>
        <w:t xml:space="preserve">капитальн</w:t>
      </w:r>
      <w:r>
        <w:rPr>
          <w:rFonts w:ascii="Times New Roman" w:hAnsi="Times New Roman" w:cs="Times New Roman"/>
          <w:sz w:val="20"/>
          <w:szCs w:val="20"/>
        </w:rPr>
        <w:t xml:space="preserve">ого </w:t>
      </w:r>
      <w:r>
        <w:rPr>
          <w:rFonts w:ascii="Times New Roman" w:hAnsi="Times New Roman" w:cs="Times New Roman"/>
          <w:sz w:val="20"/>
          <w:szCs w:val="20"/>
        </w:rPr>
        <w:t xml:space="preserve">строитель</w:t>
      </w:r>
      <w:r>
        <w:rPr>
          <w:rFonts w:ascii="Times New Roman" w:hAnsi="Times New Roman" w:cs="Times New Roman"/>
          <w:sz w:val="20"/>
          <w:szCs w:val="20"/>
        </w:rPr>
        <w:t xml:space="preserve">ства – </w:t>
      </w:r>
      <w:r>
        <w:rPr>
          <w:rFonts w:ascii="Times New Roman" w:hAnsi="Times New Roman" w:cs="Times New Roman"/>
          <w:sz w:val="20"/>
          <w:szCs w:val="20"/>
        </w:rPr>
        <w:t xml:space="preserve">одноэтажн</w:t>
      </w:r>
      <w:r>
        <w:rPr>
          <w:rFonts w:ascii="Times New Roman" w:hAnsi="Times New Roman" w:cs="Times New Roman"/>
          <w:sz w:val="20"/>
          <w:szCs w:val="20"/>
        </w:rPr>
        <w:t xml:space="preserve">ые здания </w:t>
      </w:r>
      <w:r>
        <w:rPr>
          <w:rFonts w:ascii="Times New Roman" w:hAnsi="Times New Roman" w:cs="Times New Roman"/>
          <w:sz w:val="20"/>
          <w:szCs w:val="20"/>
        </w:rPr>
        <w:t xml:space="preserve">- 4,7 м до </w:t>
      </w:r>
      <w:r>
        <w:rPr>
          <w:rFonts w:ascii="Times New Roman" w:hAnsi="Times New Roman" w:cs="Times New Roman"/>
          <w:sz w:val="20"/>
          <w:szCs w:val="20"/>
        </w:rPr>
        <w:t xml:space="preserve">карниза, </w:t>
      </w:r>
      <w:r>
        <w:rPr>
          <w:rFonts w:ascii="Times New Roman" w:hAnsi="Times New Roman" w:cs="Times New Roman"/>
          <w:sz w:val="20"/>
          <w:szCs w:val="20"/>
        </w:rPr>
        <w:t xml:space="preserve">7м до </w:t>
      </w:r>
      <w:r>
        <w:rPr>
          <w:rFonts w:ascii="Times New Roman" w:hAnsi="Times New Roman" w:cs="Times New Roman"/>
          <w:sz w:val="20"/>
          <w:szCs w:val="20"/>
        </w:rPr>
        <w:t xml:space="preserve">конька </w:t>
      </w:r>
      <w:r>
        <w:rPr>
          <w:rFonts w:ascii="Times New Roman" w:hAnsi="Times New Roman" w:cs="Times New Roman"/>
          <w:sz w:val="20"/>
          <w:szCs w:val="20"/>
        </w:rPr>
        <w:t xml:space="preserve">кровли; </w:t>
      </w:r>
      <w:r>
        <w:rPr>
          <w:rFonts w:ascii="Times New Roman" w:hAnsi="Times New Roman" w:cs="Times New Roman"/>
          <w:sz w:val="20"/>
          <w:szCs w:val="20"/>
        </w:rPr>
        <w:t xml:space="preserve">двухэтажн</w:t>
      </w:r>
      <w:r>
        <w:rPr>
          <w:rFonts w:ascii="Times New Roman" w:hAnsi="Times New Roman" w:cs="Times New Roman"/>
          <w:sz w:val="20"/>
          <w:szCs w:val="20"/>
        </w:rPr>
        <w:t xml:space="preserve">ые здания, </w:t>
      </w:r>
      <w:r>
        <w:rPr>
          <w:rFonts w:ascii="Times New Roman" w:hAnsi="Times New Roman" w:cs="Times New Roman"/>
          <w:sz w:val="20"/>
          <w:szCs w:val="20"/>
        </w:rPr>
        <w:t xml:space="preserve">один из </w:t>
      </w:r>
      <w:r>
        <w:rPr>
          <w:rFonts w:ascii="Times New Roman" w:hAnsi="Times New Roman" w:cs="Times New Roman"/>
          <w:sz w:val="20"/>
          <w:szCs w:val="20"/>
        </w:rPr>
        <w:t xml:space="preserve">этажей </w:t>
      </w:r>
      <w:r>
        <w:rPr>
          <w:rFonts w:ascii="Times New Roman" w:hAnsi="Times New Roman" w:cs="Times New Roman"/>
          <w:sz w:val="20"/>
          <w:szCs w:val="20"/>
        </w:rPr>
        <w:t xml:space="preserve">которого </w:t>
      </w:r>
      <w:r>
        <w:rPr>
          <w:rFonts w:ascii="Times New Roman" w:hAnsi="Times New Roman" w:cs="Times New Roman"/>
          <w:sz w:val="20"/>
          <w:szCs w:val="20"/>
        </w:rPr>
        <w:t xml:space="preserve">мезонин </w:t>
      </w:r>
      <w:r>
        <w:rPr>
          <w:rFonts w:ascii="Times New Roman" w:hAnsi="Times New Roman" w:cs="Times New Roman"/>
          <w:sz w:val="20"/>
          <w:szCs w:val="20"/>
        </w:rPr>
        <w:t xml:space="preserve">под </w:t>
      </w:r>
      <w:r>
        <w:rPr>
          <w:rFonts w:ascii="Times New Roman" w:hAnsi="Times New Roman" w:cs="Times New Roman"/>
          <w:sz w:val="20"/>
          <w:szCs w:val="20"/>
        </w:rPr>
        <w:t xml:space="preserve">отдельной </w:t>
      </w:r>
      <w:r>
        <w:rPr>
          <w:rFonts w:ascii="Times New Roman" w:hAnsi="Times New Roman" w:cs="Times New Roman"/>
          <w:sz w:val="20"/>
          <w:szCs w:val="20"/>
        </w:rPr>
        <w:t xml:space="preserve">скатной </w:t>
      </w:r>
      <w:r>
        <w:rPr>
          <w:rFonts w:ascii="Times New Roman" w:hAnsi="Times New Roman" w:cs="Times New Roman"/>
          <w:sz w:val="20"/>
          <w:szCs w:val="20"/>
        </w:rPr>
        <w:t xml:space="preserve">крышей: </w:t>
      </w:r>
      <w:r>
        <w:rPr>
          <w:rFonts w:ascii="Times New Roman" w:hAnsi="Times New Roman" w:cs="Times New Roman"/>
          <w:sz w:val="20"/>
          <w:szCs w:val="20"/>
        </w:rPr>
        <w:t xml:space="preserve">4,7 м до </w:t>
      </w:r>
      <w:r>
        <w:rPr>
          <w:rFonts w:ascii="Times New Roman" w:hAnsi="Times New Roman" w:cs="Times New Roman"/>
          <w:sz w:val="20"/>
          <w:szCs w:val="20"/>
        </w:rPr>
        <w:t xml:space="preserve">карниза </w:t>
      </w:r>
      <w:r>
        <w:rPr>
          <w:rFonts w:ascii="Times New Roman" w:hAnsi="Times New Roman" w:cs="Times New Roman"/>
          <w:sz w:val="20"/>
          <w:szCs w:val="20"/>
        </w:rPr>
        <w:t xml:space="preserve">первого </w:t>
      </w:r>
      <w:r>
        <w:rPr>
          <w:rFonts w:ascii="Times New Roman" w:hAnsi="Times New Roman" w:cs="Times New Roman"/>
          <w:sz w:val="20"/>
          <w:szCs w:val="20"/>
        </w:rPr>
        <w:t xml:space="preserve">этажа; 7,5 </w:t>
      </w:r>
      <w:r>
        <w:rPr>
          <w:rFonts w:ascii="Times New Roman" w:hAnsi="Times New Roman" w:cs="Times New Roman"/>
          <w:sz w:val="20"/>
          <w:szCs w:val="20"/>
        </w:rPr>
        <w:t xml:space="preserve">м до </w:t>
      </w:r>
      <w:r>
        <w:rPr>
          <w:rFonts w:ascii="Times New Roman" w:hAnsi="Times New Roman" w:cs="Times New Roman"/>
          <w:sz w:val="20"/>
          <w:szCs w:val="20"/>
        </w:rPr>
        <w:t xml:space="preserve">карниза </w:t>
      </w:r>
      <w:r>
        <w:rPr>
          <w:rFonts w:ascii="Times New Roman" w:hAnsi="Times New Roman" w:cs="Times New Roman"/>
          <w:sz w:val="20"/>
          <w:szCs w:val="20"/>
        </w:rPr>
        <w:t xml:space="preserve">мезонина; </w:t>
      </w:r>
      <w:r>
        <w:rPr>
          <w:rFonts w:ascii="Times New Roman" w:hAnsi="Times New Roman" w:cs="Times New Roman"/>
          <w:sz w:val="20"/>
          <w:szCs w:val="20"/>
        </w:rPr>
        <w:t xml:space="preserve">10 м до </w:t>
      </w:r>
      <w:r>
        <w:rPr>
          <w:rFonts w:ascii="Times New Roman" w:hAnsi="Times New Roman" w:cs="Times New Roman"/>
          <w:sz w:val="20"/>
          <w:szCs w:val="20"/>
        </w:rPr>
        <w:t xml:space="preserve">конька </w:t>
      </w:r>
      <w:r>
        <w:rPr>
          <w:rFonts w:ascii="Times New Roman" w:hAnsi="Times New Roman" w:cs="Times New Roman"/>
          <w:sz w:val="20"/>
          <w:szCs w:val="20"/>
        </w:rPr>
        <w:t xml:space="preserve">мезонина; </w:t>
      </w:r>
      <w:r>
        <w:rPr>
          <w:rFonts w:ascii="Times New Roman" w:hAnsi="Times New Roman" w:cs="Times New Roman"/>
          <w:sz w:val="20"/>
          <w:szCs w:val="20"/>
        </w:rPr>
        <w:t xml:space="preserve">двухэтажн</w:t>
      </w:r>
      <w:r>
        <w:rPr>
          <w:rFonts w:ascii="Times New Roman" w:hAnsi="Times New Roman" w:cs="Times New Roman"/>
          <w:sz w:val="20"/>
          <w:szCs w:val="20"/>
        </w:rPr>
        <w:t xml:space="preserve">ые здания </w:t>
      </w:r>
      <w:r>
        <w:rPr>
          <w:rFonts w:ascii="Times New Roman" w:hAnsi="Times New Roman" w:cs="Times New Roman"/>
          <w:sz w:val="20"/>
          <w:szCs w:val="20"/>
        </w:rPr>
        <w:t xml:space="preserve">- 8м до </w:t>
      </w:r>
      <w:r>
        <w:rPr>
          <w:rFonts w:ascii="Times New Roman" w:hAnsi="Times New Roman" w:cs="Times New Roman"/>
          <w:sz w:val="20"/>
          <w:szCs w:val="20"/>
        </w:rPr>
        <w:t xml:space="preserve">карниза, </w:t>
      </w:r>
      <w:r>
        <w:rPr>
          <w:rFonts w:ascii="Times New Roman" w:hAnsi="Times New Roman" w:cs="Times New Roman"/>
          <w:sz w:val="20"/>
          <w:szCs w:val="20"/>
        </w:rPr>
        <w:t xml:space="preserve">11 </w:t>
      </w:r>
      <w:r>
        <w:rPr>
          <w:rFonts w:ascii="Times New Roman" w:hAnsi="Times New Roman" w:cs="Times New Roman"/>
          <w:sz w:val="20"/>
          <w:szCs w:val="20"/>
        </w:rPr>
        <w:t xml:space="preserve">м до </w:t>
      </w:r>
      <w:r>
        <w:rPr>
          <w:rFonts w:ascii="Times New Roman" w:hAnsi="Times New Roman" w:cs="Times New Roman"/>
          <w:sz w:val="20"/>
          <w:szCs w:val="20"/>
        </w:rPr>
        <w:t xml:space="preserve">конька </w:t>
      </w:r>
      <w:r>
        <w:rPr>
          <w:rFonts w:ascii="Times New Roman" w:hAnsi="Times New Roman" w:cs="Times New Roman"/>
          <w:sz w:val="20"/>
          <w:szCs w:val="20"/>
        </w:rPr>
        <w:t xml:space="preserve">крыши; в</w:t>
      </w:r>
      <w:r>
        <w:rPr>
          <w:rFonts w:ascii="Times New Roman" w:hAnsi="Times New Roman" w:cs="Times New Roman"/>
          <w:sz w:val="20"/>
          <w:szCs w:val="20"/>
        </w:rPr>
        <w:t xml:space="preserve">ысота </w:t>
      </w:r>
      <w:r>
        <w:rPr>
          <w:rFonts w:ascii="Times New Roman" w:hAnsi="Times New Roman" w:cs="Times New Roman"/>
          <w:sz w:val="20"/>
          <w:szCs w:val="20"/>
        </w:rPr>
        <w:t xml:space="preserve">цоколя – </w:t>
      </w:r>
      <w:r>
        <w:rPr>
          <w:rFonts w:ascii="Times New Roman" w:hAnsi="Times New Roman" w:cs="Times New Roman"/>
          <w:sz w:val="20"/>
          <w:szCs w:val="20"/>
        </w:rPr>
        <w:t xml:space="preserve">не более </w:t>
      </w:r>
      <w:r>
        <w:rPr>
          <w:rFonts w:ascii="Times New Roman" w:hAnsi="Times New Roman" w:cs="Times New Roman"/>
          <w:sz w:val="20"/>
          <w:szCs w:val="20"/>
        </w:rPr>
        <w:t xml:space="preserve">1м, за </w:t>
      </w:r>
      <w:r>
        <w:rPr>
          <w:rFonts w:ascii="Times New Roman" w:hAnsi="Times New Roman" w:cs="Times New Roman"/>
          <w:sz w:val="20"/>
          <w:szCs w:val="20"/>
        </w:rPr>
        <w:t xml:space="preserve">исключени</w:t>
      </w:r>
      <w:r>
        <w:rPr>
          <w:rFonts w:ascii="Times New Roman" w:hAnsi="Times New Roman" w:cs="Times New Roman"/>
          <w:sz w:val="20"/>
          <w:szCs w:val="20"/>
        </w:rPr>
        <w:t xml:space="preserve">ем </w:t>
      </w:r>
      <w:r>
        <w:rPr>
          <w:rFonts w:ascii="Times New Roman" w:hAnsi="Times New Roman" w:cs="Times New Roman"/>
          <w:sz w:val="20"/>
          <w:szCs w:val="20"/>
        </w:rPr>
        <w:t xml:space="preserve">типовых </w:t>
      </w:r>
      <w:r>
        <w:rPr>
          <w:rFonts w:ascii="Times New Roman" w:hAnsi="Times New Roman" w:cs="Times New Roman"/>
          <w:sz w:val="20"/>
          <w:szCs w:val="20"/>
        </w:rPr>
        <w:t xml:space="preserve">архитекту</w:t>
      </w:r>
      <w:r>
        <w:rPr>
          <w:rFonts w:ascii="Times New Roman" w:hAnsi="Times New Roman" w:cs="Times New Roman"/>
          <w:sz w:val="20"/>
          <w:szCs w:val="20"/>
        </w:rPr>
        <w:t xml:space="preserve">рных и </w:t>
      </w:r>
      <w:r>
        <w:rPr>
          <w:rFonts w:ascii="Times New Roman" w:hAnsi="Times New Roman" w:cs="Times New Roman"/>
          <w:sz w:val="20"/>
          <w:szCs w:val="20"/>
        </w:rPr>
        <w:t xml:space="preserve">объемно-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пространс</w:t>
      </w:r>
      <w:r>
        <w:rPr>
          <w:rFonts w:ascii="Times New Roman" w:hAnsi="Times New Roman" w:cs="Times New Roman"/>
          <w:sz w:val="20"/>
          <w:szCs w:val="20"/>
        </w:rPr>
        <w:t xml:space="preserve">твенных </w:t>
      </w:r>
      <w:r>
        <w:rPr>
          <w:rFonts w:ascii="Times New Roman" w:hAnsi="Times New Roman" w:cs="Times New Roman"/>
          <w:sz w:val="20"/>
          <w:szCs w:val="20"/>
        </w:rPr>
        <w:t xml:space="preserve">решений </w:t>
      </w:r>
      <w:r>
        <w:rPr>
          <w:rFonts w:ascii="Times New Roman" w:hAnsi="Times New Roman" w:cs="Times New Roman"/>
          <w:sz w:val="20"/>
          <w:szCs w:val="20"/>
        </w:rPr>
        <w:t xml:space="preserve">объектов </w:t>
      </w:r>
      <w:r>
        <w:rPr>
          <w:rFonts w:ascii="Times New Roman" w:hAnsi="Times New Roman" w:cs="Times New Roman"/>
          <w:sz w:val="20"/>
          <w:szCs w:val="20"/>
        </w:rPr>
        <w:t xml:space="preserve">капитальн</w:t>
      </w:r>
      <w:r>
        <w:rPr>
          <w:rFonts w:ascii="Times New Roman" w:hAnsi="Times New Roman" w:cs="Times New Roman"/>
          <w:sz w:val="20"/>
          <w:szCs w:val="20"/>
        </w:rPr>
        <w:t xml:space="preserve">ого </w:t>
      </w:r>
      <w:r>
        <w:rPr>
          <w:rFonts w:ascii="Times New Roman" w:hAnsi="Times New Roman" w:cs="Times New Roman"/>
          <w:sz w:val="20"/>
          <w:szCs w:val="20"/>
        </w:rPr>
        <w:t xml:space="preserve">строительс</w:t>
      </w:r>
      <w:r>
        <w:rPr>
          <w:rFonts w:ascii="Times New Roman" w:hAnsi="Times New Roman" w:cs="Times New Roman"/>
          <w:sz w:val="20"/>
          <w:szCs w:val="20"/>
        </w:rPr>
        <w:t xml:space="preserve">тва, </w:t>
      </w:r>
      <w:r>
        <w:rPr>
          <w:rFonts w:ascii="Times New Roman" w:hAnsi="Times New Roman" w:cs="Times New Roman"/>
          <w:sz w:val="20"/>
          <w:szCs w:val="20"/>
        </w:rPr>
        <w:t xml:space="preserve">предусмот</w:t>
      </w:r>
      <w:r>
        <w:rPr>
          <w:rFonts w:ascii="Times New Roman" w:hAnsi="Times New Roman" w:cs="Times New Roman"/>
          <w:sz w:val="20"/>
          <w:szCs w:val="20"/>
        </w:rPr>
        <w:t xml:space="preserve">ренных с </w:t>
      </w:r>
      <w:r>
        <w:rPr>
          <w:rFonts w:ascii="Times New Roman" w:hAnsi="Times New Roman" w:cs="Times New Roman"/>
          <w:sz w:val="20"/>
          <w:szCs w:val="20"/>
        </w:rPr>
        <w:t xml:space="preserve">высоким </w:t>
      </w:r>
      <w:r>
        <w:rPr>
          <w:rFonts w:ascii="Times New Roman" w:hAnsi="Times New Roman" w:cs="Times New Roman"/>
          <w:sz w:val="20"/>
          <w:szCs w:val="20"/>
        </w:rPr>
        <w:t xml:space="preserve">подклето</w:t>
      </w:r>
      <w:r>
        <w:rPr>
          <w:rFonts w:ascii="Times New Roman" w:hAnsi="Times New Roman" w:cs="Times New Roman"/>
          <w:sz w:val="20"/>
          <w:szCs w:val="20"/>
        </w:rPr>
        <w:t xml:space="preserve">м или цоколем;</w:t>
      </w:r>
      <w:r>
        <w:rPr>
          <w:rFonts w:ascii="Times New Roman" w:hAnsi="Times New Roman" w:cs="Times New Roman"/>
          <w:sz w:val="20"/>
          <w:szCs w:val="20"/>
          <w14:ligatures w14:val="none"/>
        </w:rPr>
      </w:r>
      <w:r>
        <w:rPr>
          <w:rFonts w:ascii="Times New Roman" w:hAnsi="Times New Roman" w:cs="Times New Roman"/>
          <w:sz w:val="20"/>
          <w:szCs w:val="20"/>
          <w14:ligatures w14:val="none"/>
        </w:rPr>
      </w:r>
    </w:p>
    <w:p>
      <w:pPr>
        <w:pStyle w:val="842"/>
        <w:numPr>
          <w:ilvl w:val="0"/>
          <w:numId w:val="25"/>
        </w:numPr>
        <w:ind w:left="0" w:right="0" w:firstLine="709"/>
        <w:jc w:val="both"/>
        <w:tabs>
          <w:tab w:val="left" w:pos="850" w:leader="none"/>
        </w:tabs>
        <w:rPr>
          <w:rFonts w:ascii="Times New Roman" w:hAnsi="Times New Roman" w:cs="Times New Roman"/>
          <w:sz w:val="20"/>
          <w:szCs w:val="20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  <w:t xml:space="preserve">историко – культурная деятельность</w:t>
      </w:r>
      <w:r>
        <w:rPr>
          <w:rFonts w:ascii="Times New Roman" w:hAnsi="Times New Roman" w:cs="Times New Roman"/>
          <w:sz w:val="20"/>
          <w:szCs w:val="20"/>
        </w:rPr>
        <w:t xml:space="preserve">: параметры разрешенного строительства не подлежат установлению;</w:t>
      </w:r>
      <w:r>
        <w:rPr>
          <w:rFonts w:ascii="Times New Roman" w:hAnsi="Times New Roman" w:cs="Times New Roman"/>
          <w:sz w:val="20"/>
          <w:szCs w:val="20"/>
          <w14:ligatures w14:val="none"/>
        </w:rPr>
      </w:r>
      <w:r>
        <w:rPr>
          <w:rFonts w:ascii="Times New Roman" w:hAnsi="Times New Roman" w:cs="Times New Roman"/>
          <w:sz w:val="20"/>
          <w:szCs w:val="20"/>
          <w14:ligatures w14:val="none"/>
        </w:rPr>
      </w:r>
    </w:p>
    <w:p>
      <w:pPr>
        <w:pStyle w:val="842"/>
        <w:numPr>
          <w:ilvl w:val="0"/>
          <w:numId w:val="25"/>
        </w:numPr>
        <w:ind w:left="0" w:right="0" w:firstLine="709"/>
        <w:jc w:val="both"/>
        <w:tabs>
          <w:tab w:val="left" w:pos="850" w:leader="none"/>
        </w:tabs>
        <w:rPr>
          <w:rFonts w:ascii="Times New Roman" w:hAnsi="Times New Roman" w:cs="Times New Roman"/>
          <w:sz w:val="20"/>
          <w:szCs w:val="20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  <w:t xml:space="preserve">срок аренды земельного участка</w:t>
      </w:r>
      <w:r>
        <w:rPr>
          <w:rFonts w:ascii="Times New Roman" w:hAnsi="Times New Roman" w:cs="Times New Roman"/>
          <w:sz w:val="20"/>
          <w:szCs w:val="20"/>
        </w:rPr>
        <w:t xml:space="preserve">: 2 года 6 месяцев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sz w:val="20"/>
          <w:szCs w:val="20"/>
          <w14:ligatures w14:val="none"/>
        </w:rPr>
      </w:r>
      <w:r>
        <w:rPr>
          <w:rFonts w:ascii="Times New Roman" w:hAnsi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>
        <w:rPr>
          <w:rFonts w:ascii="Times New Roman" w:hAnsi="Times New Roman" w:cs="Times New Roman"/>
          <w:sz w:val="20"/>
          <w:szCs w:val="20"/>
        </w:rPr>
        <w:t xml:space="preserve">информаци</w:t>
      </w:r>
      <w:r>
        <w:rPr>
          <w:rFonts w:ascii="Times New Roman" w:hAnsi="Times New Roman" w:cs="Times New Roman"/>
          <w:sz w:val="20"/>
          <w:szCs w:val="20"/>
        </w:rPr>
        <w:t xml:space="preserve">я о возможности подключения (технологического присоединения)</w:t>
      </w:r>
      <w:r>
        <w:rPr>
          <w:rFonts w:ascii="Times New Roman" w:hAnsi="Times New Roman" w:cs="Times New Roman"/>
          <w:sz w:val="20"/>
          <w:szCs w:val="20"/>
        </w:rPr>
        <w:t xml:space="preserve">: водоснабжение, водоотведение, ливневая канализация </w:t>
      </w:r>
      <w:r>
        <w:rPr>
          <w:rFonts w:ascii="Times New Roman" w:hAnsi="Times New Roman" w:cs="Times New Roman"/>
          <w:sz w:val="20"/>
          <w:szCs w:val="20"/>
        </w:rPr>
        <w:t xml:space="preserve">от МУП города Костромы «</w:t>
      </w:r>
      <w:r>
        <w:rPr>
          <w:rFonts w:ascii="Times New Roman" w:hAnsi="Times New Roman" w:cs="Times New Roman"/>
          <w:sz w:val="20"/>
          <w:szCs w:val="20"/>
        </w:rPr>
        <w:t xml:space="preserve">Костромагорводоканал</w:t>
      </w:r>
      <w:r>
        <w:rPr>
          <w:rFonts w:ascii="Times New Roman" w:hAnsi="Times New Roman" w:cs="Times New Roman"/>
          <w:sz w:val="20"/>
          <w:szCs w:val="20"/>
        </w:rPr>
        <w:t xml:space="preserve">» от 17</w:t>
      </w:r>
      <w:r>
        <w:rPr>
          <w:rFonts w:ascii="Times New Roman" w:hAnsi="Times New Roman" w:cs="Times New Roman"/>
          <w:sz w:val="20"/>
          <w:szCs w:val="20"/>
        </w:rPr>
        <w:t xml:space="preserve">.09</w:t>
      </w:r>
      <w:r>
        <w:rPr>
          <w:rFonts w:ascii="Times New Roman" w:hAnsi="Times New Roman" w:cs="Times New Roman"/>
          <w:sz w:val="20"/>
          <w:szCs w:val="20"/>
        </w:rPr>
        <w:t xml:space="preserve">.2025 </w:t>
        <w:br/>
        <w:t xml:space="preserve">№ исх.02.11/6508</w:t>
      </w:r>
      <w:r>
        <w:rPr>
          <w:rFonts w:ascii="Times New Roman" w:hAnsi="Times New Roman" w:cs="Times New Roman"/>
          <w:sz w:val="20"/>
          <w:szCs w:val="20"/>
        </w:rPr>
        <w:t xml:space="preserve">д, от 17</w:t>
      </w:r>
      <w:r>
        <w:rPr>
          <w:rFonts w:ascii="Times New Roman" w:hAnsi="Times New Roman" w:cs="Times New Roman"/>
          <w:sz w:val="20"/>
          <w:szCs w:val="20"/>
        </w:rPr>
        <w:t xml:space="preserve">.09</w:t>
      </w:r>
      <w:r>
        <w:rPr>
          <w:rFonts w:ascii="Times New Roman" w:hAnsi="Times New Roman" w:cs="Times New Roman"/>
          <w:sz w:val="20"/>
          <w:szCs w:val="20"/>
        </w:rPr>
        <w:t xml:space="preserve">.2025 № исх.02.11/6498</w:t>
      </w:r>
      <w:r>
        <w:rPr>
          <w:rFonts w:ascii="Times New Roman" w:hAnsi="Times New Roman" w:cs="Times New Roman"/>
          <w:sz w:val="20"/>
          <w:szCs w:val="20"/>
        </w:rPr>
        <w:t xml:space="preserve">д; </w:t>
      </w:r>
      <w:r>
        <w:rPr>
          <w:rFonts w:ascii="Times New Roman" w:hAnsi="Times New Roman" w:cs="Times New Roman"/>
          <w:sz w:val="20"/>
          <w:szCs w:val="20"/>
        </w:rPr>
        <w:t xml:space="preserve">газоснабжение от ООО «Газпром газораспределение Кострома» от 17</w:t>
      </w:r>
      <w:r>
        <w:rPr>
          <w:rFonts w:ascii="Times New Roman" w:hAnsi="Times New Roman" w:cs="Times New Roman"/>
          <w:sz w:val="20"/>
          <w:szCs w:val="20"/>
        </w:rPr>
        <w:t xml:space="preserve">.09</w:t>
      </w:r>
      <w:r>
        <w:rPr>
          <w:rFonts w:ascii="Times New Roman" w:hAnsi="Times New Roman" w:cs="Times New Roman"/>
          <w:sz w:val="20"/>
          <w:szCs w:val="20"/>
        </w:rPr>
        <w:t xml:space="preserve">.2025 №ИС-</w:t>
      </w:r>
      <w:r>
        <w:rPr>
          <w:rFonts w:ascii="Times New Roman" w:hAnsi="Times New Roman" w:cs="Times New Roman"/>
          <w:sz w:val="20"/>
          <w:szCs w:val="20"/>
        </w:rPr>
        <w:t xml:space="preserve">15/4705</w:t>
      </w:r>
      <w:r>
        <w:rPr>
          <w:rFonts w:ascii="Times New Roman" w:hAnsi="Times New Roman" w:cs="Times New Roman"/>
          <w:sz w:val="20"/>
          <w:szCs w:val="20"/>
        </w:rPr>
        <w:t xml:space="preserve">, теплоснабжение от ПАО «ТГК-2» </w:t>
      </w:r>
      <w:r>
        <w:rPr>
          <w:rFonts w:ascii="Times New Roman" w:hAnsi="Times New Roman" w:cs="Times New Roman"/>
          <w:sz w:val="20"/>
          <w:szCs w:val="20"/>
        </w:rPr>
        <w:t xml:space="preserve">от</w:t>
      </w:r>
      <w:r>
        <w:rPr>
          <w:rFonts w:ascii="Times New Roman" w:hAnsi="Times New Roman" w:cs="Times New Roman"/>
          <w:sz w:val="20"/>
          <w:szCs w:val="20"/>
        </w:rPr>
        <w:t xml:space="preserve"> 18.</w:t>
      </w:r>
      <w:r>
        <w:rPr>
          <w:rFonts w:ascii="Times New Roman" w:hAnsi="Times New Roman" w:cs="Times New Roman"/>
          <w:sz w:val="20"/>
          <w:szCs w:val="20"/>
        </w:rPr>
        <w:t xml:space="preserve">09.2025 № 4201/1168-2025</w:t>
      </w:r>
      <w:r>
        <w:rPr>
          <w:rFonts w:ascii="Times New Roman" w:hAnsi="Times New Roman" w:cs="Times New Roman"/>
          <w:sz w:val="20"/>
          <w:szCs w:val="20"/>
        </w:rPr>
        <w:t xml:space="preserve">; от МУП г. Костромы «Городские сети» от 29.07.2025 № 13-01/03203;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начальный размер ежегодной арендной платы: 1 126 000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(Один миллион сто двадцать шесть</w:t>
      </w:r>
      <w:r>
        <w:rPr>
          <w:rFonts w:ascii="Times New Roman" w:hAnsi="Times New Roman" w:cs="Times New Roman"/>
          <w:sz w:val="20"/>
          <w:szCs w:val="20"/>
        </w:rPr>
        <w:t xml:space="preserve"> тысяч) рублей;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шаг аукциона:</w:t>
      </w:r>
      <w:r>
        <w:rPr>
          <w:rFonts w:ascii="Times New Roman" w:hAnsi="Times New Roman" w:cs="Times New Roman"/>
          <w:sz w:val="20"/>
          <w:szCs w:val="20"/>
        </w:rPr>
        <w:t xml:space="preserve"> 33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780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(Тридцать три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тысячи семьсот восемьдесят) рублей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  <w:t xml:space="preserve">- размер задатка: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1 126 000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(Один миллион сто двадцать шесть</w:t>
      </w:r>
      <w:r>
        <w:rPr>
          <w:rFonts w:ascii="Times New Roman" w:hAnsi="Times New Roman" w:cs="Times New Roman"/>
          <w:sz w:val="20"/>
          <w:szCs w:val="20"/>
        </w:rPr>
        <w:t xml:space="preserve"> тысяч)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рублей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72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800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21 ноября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12 декабря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</w:t>
        <w:br/>
      </w:r>
      <w:r>
        <w:rPr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none"/>
          <w:shd w:val="clear" w:color="auto" w:fill="ffffff"/>
        </w:rPr>
        <w:br w:type="page" w:clear="all"/>
      </w:r>
      <w:r>
        <w:rPr>
          <w:rFonts w:ascii="Times New Roman" w:hAnsi="Times New Roman"/>
          <w:sz w:val="20"/>
          <w:szCs w:val="20"/>
          <w:highlight w:val="none"/>
          <w:shd w:val="clear" w:color="auto" w:fill="ffffff"/>
        </w:rPr>
      </w:r>
      <w:r>
        <w:rPr>
          <w:sz w:val="20"/>
          <w:szCs w:val="20"/>
        </w:rPr>
      </w:r>
    </w:p>
    <w:p>
      <w:pPr>
        <w:ind w:firstLine="0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800"/>
            <w:sz w:val="20"/>
            <w:szCs w:val="20"/>
          </w:rPr>
        </w:r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16 декабря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800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16 декабря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17 декабря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Градостроительный план земельного участка от 30.09.2025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РФ-44-2-01-0-00-2025-0482-0,</w:t>
        <w:br/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РФ-44-2-01-0-00-2025-0638-0 </w:t>
      </w:r>
      <w:r>
        <w:rPr>
          <w:rFonts w:ascii="Times New Roman" w:hAnsi="Times New Roman"/>
          <w:sz w:val="20"/>
          <w:szCs w:val="20"/>
        </w:rPr>
        <w:t xml:space="preserve">является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 планом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809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72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809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72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809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809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72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25247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95653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6031229" cy="92524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728.54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195302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94796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6031229" cy="91953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724.04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42549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99034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6031229" cy="9425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742.16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536615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53903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6031229" cy="95366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750.91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55249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83737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6031229" cy="9552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752.16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750927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11064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6031229" cy="97509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767.79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53661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67701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6031229" cy="95366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750.91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936199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2357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6031229" cy="93619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737.16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298365" cy="586824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7940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16199969" flipH="0" flipV="0">
                          <a:off x="0" y="0"/>
                          <a:ext cx="8298364" cy="58682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653.41pt;height:462.07pt;mso-wrap-distance-left:0.00pt;mso-wrap-distance-top:0.00pt;mso-wrap-distance-right:0.00pt;mso-wrap-distance-bottom:0.00pt;rotation:269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851" w:right="707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72"/>
        <w:jc w:val="both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4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6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68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0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2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4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6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28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09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7">
    <w:name w:val="Heading 1 Char"/>
    <w:basedOn w:val="782"/>
    <w:link w:val="773"/>
    <w:uiPriority w:val="9"/>
    <w:rPr>
      <w:rFonts w:ascii="Arial" w:hAnsi="Arial" w:eastAsia="Arial" w:cs="Arial"/>
      <w:sz w:val="40"/>
      <w:szCs w:val="40"/>
    </w:rPr>
  </w:style>
  <w:style w:type="character" w:styleId="758">
    <w:name w:val="Heading 2 Char"/>
    <w:basedOn w:val="782"/>
    <w:link w:val="774"/>
    <w:uiPriority w:val="9"/>
    <w:rPr>
      <w:rFonts w:ascii="Arial" w:hAnsi="Arial" w:eastAsia="Arial" w:cs="Arial"/>
      <w:sz w:val="34"/>
    </w:rPr>
  </w:style>
  <w:style w:type="character" w:styleId="759">
    <w:name w:val="Heading 3 Char"/>
    <w:basedOn w:val="782"/>
    <w:link w:val="775"/>
    <w:uiPriority w:val="9"/>
    <w:rPr>
      <w:rFonts w:ascii="Arial" w:hAnsi="Arial" w:eastAsia="Arial" w:cs="Arial"/>
      <w:sz w:val="30"/>
      <w:szCs w:val="30"/>
    </w:rPr>
  </w:style>
  <w:style w:type="character" w:styleId="760">
    <w:name w:val="Heading 4 Char"/>
    <w:basedOn w:val="782"/>
    <w:link w:val="776"/>
    <w:uiPriority w:val="9"/>
    <w:rPr>
      <w:rFonts w:ascii="Arial" w:hAnsi="Arial" w:eastAsia="Arial" w:cs="Arial"/>
      <w:b/>
      <w:bCs/>
      <w:sz w:val="26"/>
      <w:szCs w:val="26"/>
    </w:rPr>
  </w:style>
  <w:style w:type="character" w:styleId="761">
    <w:name w:val="Heading 5 Char"/>
    <w:basedOn w:val="782"/>
    <w:link w:val="777"/>
    <w:uiPriority w:val="9"/>
    <w:rPr>
      <w:rFonts w:ascii="Arial" w:hAnsi="Arial" w:eastAsia="Arial" w:cs="Arial"/>
      <w:b/>
      <w:bCs/>
      <w:sz w:val="24"/>
      <w:szCs w:val="24"/>
    </w:rPr>
  </w:style>
  <w:style w:type="character" w:styleId="762">
    <w:name w:val="Heading 6 Char"/>
    <w:basedOn w:val="782"/>
    <w:link w:val="778"/>
    <w:uiPriority w:val="9"/>
    <w:rPr>
      <w:rFonts w:ascii="Arial" w:hAnsi="Arial" w:eastAsia="Arial" w:cs="Arial"/>
      <w:b/>
      <w:bCs/>
      <w:sz w:val="22"/>
      <w:szCs w:val="22"/>
    </w:rPr>
  </w:style>
  <w:style w:type="character" w:styleId="763">
    <w:name w:val="Heading 7 Char"/>
    <w:basedOn w:val="782"/>
    <w:link w:val="77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64">
    <w:name w:val="Heading 8 Char"/>
    <w:basedOn w:val="782"/>
    <w:link w:val="780"/>
    <w:uiPriority w:val="9"/>
    <w:rPr>
      <w:rFonts w:ascii="Arial" w:hAnsi="Arial" w:eastAsia="Arial" w:cs="Arial"/>
      <w:i/>
      <w:iCs/>
      <w:sz w:val="22"/>
      <w:szCs w:val="22"/>
    </w:rPr>
  </w:style>
  <w:style w:type="character" w:styleId="765">
    <w:name w:val="Heading 9 Char"/>
    <w:basedOn w:val="782"/>
    <w:link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66">
    <w:name w:val="Title Char"/>
    <w:basedOn w:val="782"/>
    <w:link w:val="817"/>
    <w:uiPriority w:val="10"/>
    <w:rPr>
      <w:sz w:val="48"/>
      <w:szCs w:val="48"/>
    </w:rPr>
  </w:style>
  <w:style w:type="character" w:styleId="767">
    <w:name w:val="Subtitle Char"/>
    <w:basedOn w:val="782"/>
    <w:link w:val="818"/>
    <w:uiPriority w:val="11"/>
    <w:rPr>
      <w:sz w:val="24"/>
      <w:szCs w:val="24"/>
    </w:rPr>
  </w:style>
  <w:style w:type="character" w:styleId="768">
    <w:name w:val="Quote Char"/>
    <w:link w:val="819"/>
    <w:uiPriority w:val="29"/>
    <w:rPr>
      <w:i/>
    </w:rPr>
  </w:style>
  <w:style w:type="character" w:styleId="769">
    <w:name w:val="Intense Quote Char"/>
    <w:link w:val="820"/>
    <w:uiPriority w:val="30"/>
    <w:rPr>
      <w:i/>
    </w:rPr>
  </w:style>
  <w:style w:type="character" w:styleId="770">
    <w:name w:val="Endnote Text Char"/>
    <w:link w:val="822"/>
    <w:uiPriority w:val="99"/>
    <w:rPr>
      <w:sz w:val="20"/>
    </w:rPr>
  </w:style>
  <w:style w:type="paragraph" w:styleId="771">
    <w:name w:val="toc 2"/>
    <w:basedOn w:val="772"/>
    <w:next w:val="772"/>
    <w:uiPriority w:val="39"/>
    <w:unhideWhenUsed/>
    <w:pPr>
      <w:ind w:left="283" w:right="0" w:firstLine="0"/>
      <w:spacing w:after="57"/>
    </w:pPr>
  </w:style>
  <w:style w:type="paragraph" w:styleId="772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73">
    <w:name w:val="Heading 1"/>
    <w:basedOn w:val="772"/>
    <w:next w:val="772"/>
    <w:link w:val="84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74">
    <w:name w:val="Heading 2"/>
    <w:basedOn w:val="772"/>
    <w:next w:val="772"/>
    <w:link w:val="78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75">
    <w:name w:val="Heading 3"/>
    <w:basedOn w:val="772"/>
    <w:next w:val="772"/>
    <w:link w:val="85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76">
    <w:name w:val="Heading 4"/>
    <w:basedOn w:val="772"/>
    <w:next w:val="772"/>
    <w:link w:val="85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77">
    <w:name w:val="Heading 5"/>
    <w:basedOn w:val="772"/>
    <w:next w:val="772"/>
    <w:link w:val="85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78">
    <w:name w:val="Heading 6"/>
    <w:basedOn w:val="772"/>
    <w:next w:val="772"/>
    <w:link w:val="78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79">
    <w:name w:val="Heading 7"/>
    <w:basedOn w:val="772"/>
    <w:next w:val="772"/>
    <w:link w:val="78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80">
    <w:name w:val="Heading 8"/>
    <w:basedOn w:val="772"/>
    <w:next w:val="772"/>
    <w:link w:val="78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81">
    <w:name w:val="Heading 9"/>
    <w:basedOn w:val="772"/>
    <w:next w:val="772"/>
    <w:link w:val="78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82" w:default="1">
    <w:name w:val="Default Paragraph Font"/>
    <w:uiPriority w:val="1"/>
    <w:semiHidden/>
    <w:unhideWhenUsed/>
    <w:qFormat/>
  </w:style>
  <w:style w:type="character" w:styleId="783" w:customStyle="1">
    <w:name w:val="Заголовок 2 Знак"/>
    <w:basedOn w:val="782"/>
    <w:uiPriority w:val="9"/>
    <w:qFormat/>
    <w:rPr>
      <w:rFonts w:ascii="Arial" w:hAnsi="Arial" w:eastAsia="Arial" w:cs="Arial"/>
      <w:sz w:val="34"/>
    </w:rPr>
  </w:style>
  <w:style w:type="character" w:styleId="784" w:customStyle="1">
    <w:name w:val="Заголовок 6 Знак"/>
    <w:basedOn w:val="782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85" w:customStyle="1">
    <w:name w:val="Заголовок 7 Знак"/>
    <w:basedOn w:val="782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86" w:customStyle="1">
    <w:name w:val="Заголовок 8 Знак"/>
    <w:basedOn w:val="782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87" w:customStyle="1">
    <w:name w:val="Заголовок 9 Знак"/>
    <w:basedOn w:val="782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88" w:customStyle="1">
    <w:name w:val="Заголовок Знак"/>
    <w:basedOn w:val="782"/>
    <w:uiPriority w:val="10"/>
    <w:qFormat/>
    <w:rPr>
      <w:sz w:val="48"/>
      <w:szCs w:val="48"/>
    </w:rPr>
  </w:style>
  <w:style w:type="character" w:styleId="789" w:customStyle="1">
    <w:name w:val="Подзаголовок Знак"/>
    <w:basedOn w:val="782"/>
    <w:uiPriority w:val="11"/>
    <w:qFormat/>
    <w:rPr>
      <w:sz w:val="24"/>
      <w:szCs w:val="24"/>
    </w:rPr>
  </w:style>
  <w:style w:type="character" w:styleId="790" w:customStyle="1">
    <w:name w:val="Цитата 2 Знак"/>
    <w:link w:val="819"/>
    <w:uiPriority w:val="29"/>
    <w:qFormat/>
    <w:rPr>
      <w:i/>
    </w:rPr>
  </w:style>
  <w:style w:type="character" w:styleId="791" w:customStyle="1">
    <w:name w:val="Выделенная цитата Знак"/>
    <w:link w:val="820"/>
    <w:uiPriority w:val="30"/>
    <w:qFormat/>
    <w:rPr>
      <w:i/>
    </w:rPr>
  </w:style>
  <w:style w:type="character" w:styleId="792" w:customStyle="1">
    <w:name w:val="Header Char"/>
    <w:basedOn w:val="782"/>
    <w:uiPriority w:val="99"/>
    <w:qFormat/>
  </w:style>
  <w:style w:type="character" w:styleId="793" w:customStyle="1">
    <w:name w:val="Footer Char"/>
    <w:basedOn w:val="782"/>
    <w:uiPriority w:val="99"/>
    <w:qFormat/>
  </w:style>
  <w:style w:type="character" w:styleId="794" w:customStyle="1">
    <w:name w:val="Caption Char"/>
    <w:uiPriority w:val="99"/>
    <w:qFormat/>
  </w:style>
  <w:style w:type="character" w:styleId="795" w:customStyle="1">
    <w:name w:val="Footnote Text Char"/>
    <w:uiPriority w:val="99"/>
    <w:qFormat/>
    <w:rPr>
      <w:sz w:val="18"/>
    </w:rPr>
  </w:style>
  <w:style w:type="character" w:styleId="796" w:customStyle="1">
    <w:name w:val="Текст концевой сноски Знак"/>
    <w:uiPriority w:val="99"/>
    <w:qFormat/>
    <w:rPr>
      <w:sz w:val="20"/>
    </w:rPr>
  </w:style>
  <w:style w:type="character" w:styleId="797">
    <w:name w:val="Символ концевой сноски"/>
    <w:basedOn w:val="782"/>
    <w:uiPriority w:val="99"/>
    <w:semiHidden/>
    <w:unhideWhenUsed/>
    <w:qFormat/>
    <w:rPr>
      <w:vertAlign w:val="superscript"/>
    </w:rPr>
  </w:style>
  <w:style w:type="character" w:styleId="798">
    <w:name w:val="endnote reference"/>
    <w:rPr>
      <w:vertAlign w:val="superscript"/>
    </w:rPr>
  </w:style>
  <w:style w:type="character" w:styleId="799">
    <w:name w:val="FollowedHyperlink"/>
    <w:basedOn w:val="782"/>
    <w:uiPriority w:val="99"/>
    <w:unhideWhenUsed/>
    <w:qFormat/>
    <w:rPr>
      <w:color w:val="800080"/>
      <w:u w:val="single"/>
    </w:rPr>
  </w:style>
  <w:style w:type="character" w:styleId="800">
    <w:name w:val="Hyperlink"/>
    <w:basedOn w:val="782"/>
    <w:uiPriority w:val="99"/>
    <w:unhideWhenUsed/>
    <w:qFormat/>
    <w:rPr>
      <w:color w:val="0000ff"/>
      <w:u w:val="single"/>
    </w:rPr>
  </w:style>
  <w:style w:type="character" w:styleId="801">
    <w:name w:val="Strong"/>
    <w:basedOn w:val="782"/>
    <w:qFormat/>
    <w:rPr>
      <w:rFonts w:cs="Times New Roman"/>
      <w:b/>
      <w:bCs/>
    </w:rPr>
  </w:style>
  <w:style w:type="character" w:styleId="802" w:customStyle="1">
    <w:name w:val="Верх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3" w:customStyle="1">
    <w:name w:val="Ниж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4" w:customStyle="1">
    <w:name w:val="10"/>
    <w:basedOn w:val="782"/>
    <w:qFormat/>
    <w:rPr>
      <w:rFonts w:ascii="Times New Roman" w:hAnsi="Times New Roman" w:cs="Times New Roman"/>
    </w:rPr>
  </w:style>
  <w:style w:type="character" w:styleId="805" w:customStyle="1">
    <w:name w:val="15"/>
    <w:basedOn w:val="782"/>
    <w:qFormat/>
    <w:rPr>
      <w:rFonts w:ascii="Times New Roman" w:hAnsi="Times New Roman" w:cs="Times New Roman"/>
      <w:color w:val="0000ff"/>
      <w:u w:val="single"/>
    </w:rPr>
  </w:style>
  <w:style w:type="character" w:styleId="806" w:customStyle="1">
    <w:name w:val="16"/>
    <w:basedOn w:val="782"/>
    <w:qFormat/>
    <w:rPr>
      <w:rFonts w:ascii="Times New Roman" w:hAnsi="Times New Roman" w:cs="Times New Roman"/>
    </w:rPr>
  </w:style>
  <w:style w:type="character" w:styleId="807" w:customStyle="1">
    <w:name w:val="rts-text"/>
    <w:basedOn w:val="782"/>
    <w:qFormat/>
  </w:style>
  <w:style w:type="character" w:styleId="808">
    <w:name w:val="Символ сноски"/>
    <w:qFormat/>
    <w:rPr>
      <w:vertAlign w:val="superscript"/>
    </w:rPr>
  </w:style>
  <w:style w:type="character" w:styleId="809">
    <w:name w:val="footnote reference"/>
    <w:rPr>
      <w:vertAlign w:val="superscript"/>
    </w:rPr>
  </w:style>
  <w:style w:type="character" w:styleId="810" w:customStyle="1">
    <w:name w:val="Текст сноски Знак"/>
    <w:basedOn w:val="782"/>
    <w:qFormat/>
    <w:rPr>
      <w:rFonts w:ascii="Times New Roman" w:hAnsi="Times New Roman" w:eastAsia="Times New Roman" w:cs="Times New Roman"/>
      <w:lang w:eastAsia="zh-CN"/>
    </w:rPr>
  </w:style>
  <w:style w:type="character" w:styleId="811" w:customStyle="1">
    <w:name w:val="Текст выноски Знак"/>
    <w:basedOn w:val="782"/>
    <w:link w:val="844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12">
    <w:name w:val="Заголовок"/>
    <w:basedOn w:val="772"/>
    <w:next w:val="813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13">
    <w:name w:val="Body Text"/>
    <w:basedOn w:val="772"/>
    <w:pPr>
      <w:spacing w:before="0" w:after="140" w:line="276" w:lineRule="auto"/>
    </w:pPr>
  </w:style>
  <w:style w:type="paragraph" w:styleId="814">
    <w:name w:val="List"/>
    <w:basedOn w:val="813"/>
    <w:rPr>
      <w:rFonts w:cs="Mangal"/>
    </w:rPr>
  </w:style>
  <w:style w:type="paragraph" w:styleId="815">
    <w:name w:val="Caption"/>
    <w:basedOn w:val="772"/>
    <w:link w:val="794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16">
    <w:name w:val="Указатель"/>
    <w:basedOn w:val="772"/>
    <w:qFormat/>
    <w:pPr>
      <w:suppressLineNumbers/>
    </w:pPr>
    <w:rPr>
      <w:rFonts w:cs="Mangal"/>
    </w:rPr>
  </w:style>
  <w:style w:type="paragraph" w:styleId="817">
    <w:name w:val="Title"/>
    <w:basedOn w:val="772"/>
    <w:next w:val="772"/>
    <w:link w:val="788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18">
    <w:name w:val="Subtitle"/>
    <w:basedOn w:val="772"/>
    <w:next w:val="772"/>
    <w:link w:val="789"/>
    <w:uiPriority w:val="11"/>
    <w:qFormat/>
    <w:pPr>
      <w:spacing w:before="200" w:after="200"/>
    </w:pPr>
  </w:style>
  <w:style w:type="paragraph" w:styleId="819">
    <w:name w:val="Quote"/>
    <w:basedOn w:val="772"/>
    <w:next w:val="772"/>
    <w:link w:val="790"/>
    <w:uiPriority w:val="29"/>
    <w:qFormat/>
    <w:pPr>
      <w:ind w:left="720" w:right="720" w:firstLine="0"/>
    </w:pPr>
    <w:rPr>
      <w:i/>
    </w:rPr>
  </w:style>
  <w:style w:type="paragraph" w:styleId="820">
    <w:name w:val="Intense Quote"/>
    <w:basedOn w:val="772"/>
    <w:next w:val="772"/>
    <w:link w:val="791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21">
    <w:name w:val="Caption"/>
    <w:basedOn w:val="772"/>
    <w:next w:val="772"/>
    <w:link w:val="79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22">
    <w:name w:val="endnote text"/>
    <w:basedOn w:val="772"/>
    <w:link w:val="796"/>
    <w:uiPriority w:val="99"/>
    <w:semiHidden/>
    <w:unhideWhenUsed/>
    <w:rPr>
      <w:sz w:val="20"/>
    </w:rPr>
  </w:style>
  <w:style w:type="paragraph" w:styleId="823">
    <w:name w:val="toc 1"/>
    <w:basedOn w:val="772"/>
    <w:next w:val="772"/>
    <w:uiPriority w:val="39"/>
    <w:unhideWhenUsed/>
    <w:pPr>
      <w:spacing w:before="0" w:after="57"/>
    </w:pPr>
  </w:style>
  <w:style w:type="paragraph" w:styleId="824">
    <w:name w:val="toc 3"/>
    <w:basedOn w:val="772"/>
    <w:next w:val="772"/>
    <w:uiPriority w:val="39"/>
    <w:unhideWhenUsed/>
    <w:pPr>
      <w:ind w:left="567" w:firstLine="0"/>
      <w:spacing w:before="0" w:after="57"/>
    </w:pPr>
  </w:style>
  <w:style w:type="paragraph" w:styleId="825">
    <w:name w:val="toc 4"/>
    <w:basedOn w:val="772"/>
    <w:next w:val="772"/>
    <w:uiPriority w:val="39"/>
    <w:unhideWhenUsed/>
    <w:pPr>
      <w:ind w:left="850" w:firstLine="0"/>
      <w:spacing w:before="0" w:after="57"/>
    </w:pPr>
  </w:style>
  <w:style w:type="paragraph" w:styleId="826">
    <w:name w:val="toc 5"/>
    <w:basedOn w:val="772"/>
    <w:next w:val="772"/>
    <w:uiPriority w:val="39"/>
    <w:unhideWhenUsed/>
    <w:pPr>
      <w:ind w:left="1134" w:firstLine="0"/>
      <w:spacing w:before="0" w:after="57"/>
    </w:pPr>
  </w:style>
  <w:style w:type="paragraph" w:styleId="827">
    <w:name w:val="toc 6"/>
    <w:basedOn w:val="772"/>
    <w:next w:val="772"/>
    <w:uiPriority w:val="39"/>
    <w:unhideWhenUsed/>
    <w:pPr>
      <w:ind w:left="1417" w:firstLine="0"/>
      <w:spacing w:before="0" w:after="57"/>
    </w:pPr>
  </w:style>
  <w:style w:type="paragraph" w:styleId="828">
    <w:name w:val="toc 7"/>
    <w:basedOn w:val="772"/>
    <w:next w:val="772"/>
    <w:uiPriority w:val="39"/>
    <w:unhideWhenUsed/>
    <w:pPr>
      <w:ind w:left="1701" w:firstLine="0"/>
      <w:spacing w:before="0" w:after="57"/>
    </w:pPr>
  </w:style>
  <w:style w:type="paragraph" w:styleId="829">
    <w:name w:val="toc 8"/>
    <w:basedOn w:val="772"/>
    <w:next w:val="772"/>
    <w:uiPriority w:val="39"/>
    <w:unhideWhenUsed/>
    <w:pPr>
      <w:ind w:left="1984" w:firstLine="0"/>
      <w:spacing w:before="0" w:after="57"/>
    </w:pPr>
  </w:style>
  <w:style w:type="paragraph" w:styleId="830">
    <w:name w:val="toc 9"/>
    <w:basedOn w:val="772"/>
    <w:next w:val="772"/>
    <w:uiPriority w:val="39"/>
    <w:unhideWhenUsed/>
    <w:pPr>
      <w:ind w:left="2268" w:firstLine="0"/>
      <w:spacing w:before="0" w:after="57"/>
    </w:pPr>
  </w:style>
  <w:style w:type="paragraph" w:styleId="831">
    <w:name w:val="Index Heading"/>
    <w:basedOn w:val="812"/>
  </w:style>
  <w:style w:type="paragraph" w:styleId="832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33">
    <w:name w:val="table of figures"/>
    <w:basedOn w:val="772"/>
    <w:next w:val="772"/>
    <w:uiPriority w:val="99"/>
    <w:unhideWhenUsed/>
    <w:qFormat/>
  </w:style>
  <w:style w:type="paragraph" w:styleId="834">
    <w:name w:val="Body Text Indent 3"/>
    <w:basedOn w:val="772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35">
    <w:name w:val="Колонтитул"/>
    <w:basedOn w:val="772"/>
    <w:qFormat/>
  </w:style>
  <w:style w:type="paragraph" w:styleId="836">
    <w:name w:val="Header"/>
    <w:basedOn w:val="772"/>
    <w:link w:val="802"/>
    <w:uiPriority w:val="99"/>
    <w:unhideWhenUsed/>
    <w:qFormat/>
  </w:style>
  <w:style w:type="paragraph" w:styleId="837">
    <w:name w:val="Footer"/>
    <w:basedOn w:val="772"/>
    <w:link w:val="803"/>
    <w:uiPriority w:val="99"/>
    <w:unhideWhenUsed/>
    <w:qFormat/>
  </w:style>
  <w:style w:type="paragraph" w:styleId="838">
    <w:name w:val="Normal (Web)"/>
    <w:basedOn w:val="772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39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40" w:customStyle="1">
    <w:name w:val="rezul"/>
    <w:basedOn w:val="772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41" w:customStyle="1">
    <w:name w:val="Заголов1"/>
    <w:basedOn w:val="772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42">
    <w:name w:val="List Paragraph"/>
    <w:basedOn w:val="772"/>
    <w:uiPriority w:val="99"/>
    <w:qFormat/>
    <w:pPr>
      <w:contextualSpacing/>
      <w:ind w:left="720" w:firstLine="0"/>
      <w:spacing w:before="0" w:after="0"/>
    </w:pPr>
  </w:style>
  <w:style w:type="paragraph" w:styleId="843">
    <w:name w:val="footnote text"/>
    <w:basedOn w:val="772"/>
    <w:link w:val="810"/>
    <w:rPr>
      <w:sz w:val="20"/>
      <w:szCs w:val="20"/>
      <w:lang w:eastAsia="zh-CN"/>
    </w:rPr>
  </w:style>
  <w:style w:type="paragraph" w:styleId="844">
    <w:name w:val="Balloon Text"/>
    <w:basedOn w:val="772"/>
    <w:link w:val="811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45" w:default="1">
    <w:name w:val="No List"/>
    <w:uiPriority w:val="99"/>
    <w:semiHidden/>
    <w:unhideWhenUsed/>
    <w:qFormat/>
  </w:style>
  <w:style w:type="table" w:styleId="846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47" w:customStyle="1">
    <w:name w:val="Table Grid Light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48">
    <w:name w:val="Plain Table 1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49">
    <w:name w:val="Plain Table 2"/>
    <w:basedOn w:val="84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50">
    <w:name w:val="Plain Table 3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51">
    <w:name w:val="Plain Table 4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Plain Table 5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53">
    <w:name w:val="Grid Table 1 Light"/>
    <w:basedOn w:val="84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 w:customStyle="1">
    <w:name w:val="Grid Table 1 Light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 w:customStyle="1">
    <w:name w:val="Grid Table 1 Light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 w:customStyle="1">
    <w:name w:val="Grid Table 1 Light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 w:customStyle="1">
    <w:name w:val="Grid Table 1 Light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 w:customStyle="1">
    <w:name w:val="Grid Table 1 Light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 w:customStyle="1">
    <w:name w:val="Grid Table 1 Light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Grid Table 2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2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Grid Table 2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Grid Table 2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Grid Table 2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Grid Table 2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Grid Table 2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>
    <w:name w:val="Grid Table 3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Grid Table 3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Grid Table 3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Grid Table 3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Grid Table 3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Grid Table 3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3" w:customStyle="1">
    <w:name w:val="Grid Table 3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>
    <w:name w:val="Grid Table 4"/>
    <w:basedOn w:val="84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75" w:customStyle="1">
    <w:name w:val="Grid Table 4 - Accent 1"/>
    <w:basedOn w:val="846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76" w:customStyle="1">
    <w:name w:val="Grid Table 4 - Accent 2"/>
    <w:basedOn w:val="846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77" w:customStyle="1">
    <w:name w:val="Grid Table 4 - Accent 3"/>
    <w:basedOn w:val="846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78" w:customStyle="1">
    <w:name w:val="Grid Table 4 - Accent 4"/>
    <w:basedOn w:val="846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79" w:customStyle="1">
    <w:name w:val="Grid Table 4 - Accent 5"/>
    <w:basedOn w:val="846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80" w:customStyle="1">
    <w:name w:val="Grid Table 4 - Accent 6"/>
    <w:basedOn w:val="846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81">
    <w:name w:val="Grid Table 5 Dark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82" w:customStyle="1">
    <w:name w:val="Grid Table 5 Dark- Accent 1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83" w:customStyle="1">
    <w:name w:val="Grid Table 5 Dark - Accent 2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84" w:customStyle="1">
    <w:name w:val="Grid Table 5 Dark - Accent 3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85" w:customStyle="1">
    <w:name w:val="Grid Table 5 Dark- Accent 4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86" w:customStyle="1">
    <w:name w:val="Grid Table 5 Dark - Accent 5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87" w:customStyle="1">
    <w:name w:val="Grid Table 5 Dark - Accent 6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88">
    <w:name w:val="Grid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89" w:customStyle="1">
    <w:name w:val="Grid Table 6 Colorful - Accent 1"/>
    <w:basedOn w:val="846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90" w:customStyle="1">
    <w:name w:val="Grid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91" w:customStyle="1">
    <w:name w:val="Grid Table 6 Colorful - Accent 3"/>
    <w:basedOn w:val="846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92" w:customStyle="1">
    <w:name w:val="Grid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93" w:customStyle="1">
    <w:name w:val="Grid Table 6 Colorful - Accent 5"/>
    <w:basedOn w:val="846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4" w:customStyle="1">
    <w:name w:val="Grid Table 6 Colorful - Accent 6"/>
    <w:basedOn w:val="846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5">
    <w:name w:val="Grid Table 7 Colorful"/>
    <w:basedOn w:val="84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6" w:customStyle="1">
    <w:name w:val="Grid Table 7 Colorful - Accent 1"/>
    <w:basedOn w:val="846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7" w:customStyle="1">
    <w:name w:val="Grid Table 7 Colorful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8" w:customStyle="1">
    <w:name w:val="Grid Table 7 Colorful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9" w:customStyle="1">
    <w:name w:val="Grid Table 7 Colorful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0" w:customStyle="1">
    <w:name w:val="Grid Table 7 Colorful - Accent 5"/>
    <w:basedOn w:val="846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1" w:customStyle="1">
    <w:name w:val="Grid Table 7 Colorful - Accent 6"/>
    <w:basedOn w:val="846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2">
    <w:name w:val="List Table 1 Light"/>
    <w:basedOn w:val="846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 w:customStyle="1">
    <w:name w:val="List Table 1 Light - Accent 1"/>
    <w:basedOn w:val="846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 w:customStyle="1">
    <w:name w:val="List Table 1 Light - Accent 2"/>
    <w:basedOn w:val="846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 w:customStyle="1">
    <w:name w:val="List Table 1 Light - Accent 3"/>
    <w:basedOn w:val="846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 w:customStyle="1">
    <w:name w:val="List Table 1 Light - Accent 4"/>
    <w:basedOn w:val="846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 w:customStyle="1">
    <w:name w:val="List Table 1 Light - Accent 5"/>
    <w:basedOn w:val="846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List Table 1 Light - Accent 6"/>
    <w:basedOn w:val="846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List Table 2"/>
    <w:basedOn w:val="84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910" w:customStyle="1">
    <w:name w:val="List Table 2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911" w:customStyle="1">
    <w:name w:val="List Table 2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12" w:customStyle="1">
    <w:name w:val="List Table 2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13" w:customStyle="1">
    <w:name w:val="List Table 2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14" w:customStyle="1">
    <w:name w:val="List Table 2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15" w:customStyle="1">
    <w:name w:val="List Table 2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16">
    <w:name w:val="List Table 3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3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 w:customStyle="1">
    <w:name w:val="List Table 3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 w:customStyle="1">
    <w:name w:val="List Table 3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 w:customStyle="1">
    <w:name w:val="List Table 3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1" w:customStyle="1">
    <w:name w:val="List Table 3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2" w:customStyle="1">
    <w:name w:val="List Table 3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3">
    <w:name w:val="List Table 4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4" w:customStyle="1">
    <w:name w:val="List Table 4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5" w:customStyle="1">
    <w:name w:val="List Table 4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6" w:customStyle="1">
    <w:name w:val="List Table 4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7" w:customStyle="1">
    <w:name w:val="List Table 4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8" w:customStyle="1">
    <w:name w:val="List Table 4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9" w:customStyle="1">
    <w:name w:val="List Table 4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0">
    <w:name w:val="List Table 5 Dark"/>
    <w:basedOn w:val="84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1" w:customStyle="1">
    <w:name w:val="List Table 5 Dark - Accent 1"/>
    <w:basedOn w:val="846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2" w:customStyle="1">
    <w:name w:val="List Table 5 Dark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3" w:customStyle="1">
    <w:name w:val="List Table 5 Dark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4" w:customStyle="1">
    <w:name w:val="List Table 5 Dark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5" w:customStyle="1">
    <w:name w:val="List Table 5 Dark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6" w:customStyle="1">
    <w:name w:val="List Table 5 Dark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7">
    <w:name w:val="List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38" w:customStyle="1">
    <w:name w:val="List Table 6 Colorful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39" w:customStyle="1">
    <w:name w:val="List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40" w:customStyle="1">
    <w:name w:val="List Table 6 Colorful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41" w:customStyle="1">
    <w:name w:val="List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42" w:customStyle="1">
    <w:name w:val="List Table 6 Colorful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43" w:customStyle="1">
    <w:name w:val="List Table 6 Colorful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44">
    <w:name w:val="List Table 7 Colorful"/>
    <w:basedOn w:val="84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5" w:customStyle="1">
    <w:name w:val="List Table 7 Colorful - Accent 1"/>
    <w:basedOn w:val="846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6" w:customStyle="1">
    <w:name w:val="List Table 7 Colorful - Accent 2"/>
    <w:basedOn w:val="846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7" w:customStyle="1">
    <w:name w:val="List Table 7 Colorful - Accent 3"/>
    <w:basedOn w:val="846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8" w:customStyle="1">
    <w:name w:val="List Table 7 Colorful - Accent 4"/>
    <w:basedOn w:val="846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9" w:customStyle="1">
    <w:name w:val="List Table 7 Colorful - Accent 5"/>
    <w:basedOn w:val="846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0" w:customStyle="1">
    <w:name w:val="List Table 7 Colorful - Accent 6"/>
    <w:basedOn w:val="846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1" w:customStyle="1">
    <w:name w:val="Lined - Accent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2" w:customStyle="1">
    <w:name w:val="Lined - Accent 1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53" w:customStyle="1">
    <w:name w:val="Lined - Accent 2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54" w:customStyle="1">
    <w:name w:val="Lined - Accent 3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5" w:customStyle="1">
    <w:name w:val="Lined - Accent 4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6" w:customStyle="1">
    <w:name w:val="Lined - Accent 5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7" w:customStyle="1">
    <w:name w:val="Lined - Accent 6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8" w:customStyle="1">
    <w:name w:val="Bordered &amp; Lined - Accent"/>
    <w:basedOn w:val="846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9" w:customStyle="1">
    <w:name w:val="Bordered &amp; Lined - Accent 1"/>
    <w:basedOn w:val="846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60" w:customStyle="1">
    <w:name w:val="Bordered &amp; Lined - Accent 2"/>
    <w:basedOn w:val="846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61" w:customStyle="1">
    <w:name w:val="Bordered &amp; Lined - Accent 3"/>
    <w:basedOn w:val="846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62" w:customStyle="1">
    <w:name w:val="Bordered &amp; Lined - Accent 4"/>
    <w:basedOn w:val="846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63" w:customStyle="1">
    <w:name w:val="Bordered &amp; Lined - Accent 5"/>
    <w:basedOn w:val="846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64" w:customStyle="1">
    <w:name w:val="Bordered &amp; Lined - Accent 6"/>
    <w:basedOn w:val="846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65" w:customStyle="1">
    <w:name w:val="Bordered"/>
    <w:basedOn w:val="84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66" w:customStyle="1">
    <w:name w:val="Bordered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67" w:customStyle="1">
    <w:name w:val="Bordered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68" w:customStyle="1">
    <w:name w:val="Bordered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69" w:customStyle="1">
    <w:name w:val="Bordered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70" w:customStyle="1">
    <w:name w:val="Bordered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71" w:customStyle="1">
    <w:name w:val="Bordered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72">
    <w:name w:val="Table Grid"/>
    <w:basedOn w:val="846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56</cp:revision>
  <dcterms:created xsi:type="dcterms:W3CDTF">2023-10-31T06:24:00Z</dcterms:created>
  <dcterms:modified xsi:type="dcterms:W3CDTF">2025-11-18T08:51:50Z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