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Утверждено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распоряжением начальника Управления имущественных и земельных отношений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Администрации города Костромы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bCs/>
          <w:i/>
          <w:sz w:val="20"/>
          <w:szCs w:val="20"/>
          <w:highlight w:val="none"/>
        </w:rPr>
      </w:pPr>
      <w:r>
        <w:rPr>
          <w:bCs/>
          <w:i/>
          <w:sz w:val="20"/>
          <w:szCs w:val="20"/>
        </w:rPr>
        <w:t xml:space="preserve">от __________2026 года №_____</w:t>
      </w:r>
      <w:r>
        <w:rPr>
          <w:bCs/>
          <w:i/>
          <w:sz w:val="20"/>
          <w:szCs w:val="20"/>
          <w:highlight w:val="none"/>
        </w:rPr>
      </w:r>
      <w:r>
        <w:rPr>
          <w:bCs/>
          <w:i/>
          <w:sz w:val="20"/>
          <w:szCs w:val="20"/>
          <w:highlight w:val="none"/>
        </w:rPr>
      </w:r>
    </w:p>
    <w:p>
      <w:pPr>
        <w:pStyle w:val="807"/>
        <w:rPr>
          <w:sz w:val="20"/>
          <w:szCs w:val="20"/>
          <w:lang w:val="ru-RU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ИЗВЕЩЕНИЕ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807"/>
        <w:rPr>
          <w:sz w:val="20"/>
          <w:szCs w:val="20"/>
          <w:lang w:val="ru-RU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О проведен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ии ау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кциона по продаже земельных участков, расположенных на территории города Костромы, государственная собственность на который не разграничена 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1. Управление имущественных и земельных отношений Администрации города Костромы сообщает о </w:t>
      </w:r>
      <w:r>
        <w:rPr>
          <w:sz w:val="20"/>
          <w:szCs w:val="20"/>
          <w:highlight w:val="white"/>
        </w:rPr>
        <w:t xml:space="preserve">п</w:t>
      </w:r>
      <w:r>
        <w:rPr>
          <w:sz w:val="20"/>
          <w:szCs w:val="20"/>
          <w:highlight w:val="white"/>
        </w:rPr>
        <w:t xml:space="preserve">роведен</w:t>
      </w:r>
      <w:r>
        <w:rPr>
          <w:sz w:val="20"/>
          <w:szCs w:val="20"/>
          <w:highlight w:val="white"/>
        </w:rPr>
        <w:t xml:space="preserve">ии</w:t>
      </w:r>
      <w:r>
        <w:rPr>
          <w:b/>
          <w:bCs/>
          <w:sz w:val="20"/>
          <w:szCs w:val="20"/>
          <w:highlight w:val="white"/>
        </w:rPr>
        <w:t xml:space="preserve"> 19</w:t>
      </w:r>
      <w:r>
        <w:rPr>
          <w:b/>
          <w:bCs/>
          <w:sz w:val="20"/>
          <w:szCs w:val="20"/>
          <w:highlight w:val="white"/>
        </w:rPr>
        <w:t xml:space="preserve"> августа 2026</w:t>
      </w:r>
      <w:r>
        <w:rPr>
          <w:b/>
          <w:bCs/>
          <w:sz w:val="20"/>
          <w:szCs w:val="20"/>
          <w:highlight w:val="white"/>
        </w:rPr>
        <w:t xml:space="preserve"> года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аукцио</w:t>
      </w:r>
      <w:r>
        <w:rPr>
          <w:sz w:val="20"/>
          <w:szCs w:val="20"/>
          <w:highlight w:val="white"/>
        </w:rPr>
        <w:t xml:space="preserve">на по</w:t>
      </w:r>
      <w:r>
        <w:rPr>
          <w:sz w:val="20"/>
          <w:szCs w:val="20"/>
          <w:highlight w:val="white"/>
        </w:rPr>
        <w:t xml:space="preserve"> продаже земельного участка.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Форма торгов – электронный аукцион. 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Участниками аукциона являются граждане.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2. Основание проведения аукци</w:t>
      </w:r>
      <w:r>
        <w:rPr>
          <w:sz w:val="20"/>
          <w:szCs w:val="20"/>
        </w:rPr>
        <w:t xml:space="preserve">она –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постановление Администрации города Костромы от</w:t>
      </w:r>
      <w:r>
        <w:rPr>
          <w:sz w:val="20"/>
          <w:szCs w:val="20"/>
        </w:rPr>
        <w:t xml:space="preserve"> 17 июля 2020 года № 1289</w:t>
      </w:r>
      <w:r>
        <w:rPr>
          <w:sz w:val="20"/>
          <w:szCs w:val="20"/>
        </w:rPr>
        <w:t xml:space="preserve"> «Об отказе в предоставлении в собственность и о проведении аукциона по продаже земельного участка, имеющего местоположение</w:t>
      </w:r>
      <w:r>
        <w:rPr>
          <w:sz w:val="20"/>
          <w:szCs w:val="20"/>
        </w:rPr>
        <w:t xml:space="preserve">: Костромская область, город Кос</w:t>
      </w:r>
      <w:r>
        <w:rPr>
          <w:sz w:val="20"/>
          <w:szCs w:val="20"/>
        </w:rPr>
        <w:t xml:space="preserve">трома,</w:t>
      </w:r>
      <w:r>
        <w:rPr>
          <w:sz w:val="20"/>
          <w:szCs w:val="20"/>
        </w:rPr>
        <w:t xml:space="preserve"> в районе поселка Рыбн</w:t>
      </w:r>
      <w:r>
        <w:rPr>
          <w:sz w:val="20"/>
          <w:szCs w:val="20"/>
        </w:rPr>
        <w:t xml:space="preserve">ое»</w:t>
      </w:r>
      <w:r>
        <w:rPr>
          <w:sz w:val="20"/>
          <w:szCs w:val="20"/>
        </w:rPr>
        <w:t xml:space="preserve">; </w:t>
      </w:r>
      <w:r>
        <w:rPr>
          <w:sz w:val="20"/>
          <w:szCs w:val="20"/>
        </w:rPr>
        <w:t xml:space="preserve">постановление Администрации города Костромы от</w:t>
      </w:r>
      <w:r>
        <w:rPr>
          <w:sz w:val="20"/>
          <w:szCs w:val="20"/>
        </w:rPr>
        <w:t xml:space="preserve"> 17 июля 2020 года № 1290</w:t>
      </w:r>
      <w:r>
        <w:rPr>
          <w:sz w:val="20"/>
          <w:szCs w:val="20"/>
        </w:rPr>
        <w:t xml:space="preserve"> «Об отказе в предоставлении в собственность и о проведении аукциона по продаже земельного участка, имеющего местоположение</w:t>
      </w:r>
      <w:r>
        <w:rPr>
          <w:sz w:val="20"/>
          <w:szCs w:val="20"/>
        </w:rPr>
        <w:t xml:space="preserve">: Костромская область, город Кос</w:t>
      </w:r>
      <w:r>
        <w:rPr>
          <w:sz w:val="20"/>
          <w:szCs w:val="20"/>
        </w:rPr>
        <w:t xml:space="preserve">трома,</w:t>
      </w:r>
      <w:r>
        <w:rPr>
          <w:sz w:val="20"/>
          <w:szCs w:val="20"/>
        </w:rPr>
        <w:t xml:space="preserve"> в районе поселка Рыбное»</w:t>
      </w:r>
      <w:r>
        <w:rPr>
          <w:sz w:val="20"/>
          <w:szCs w:val="20"/>
        </w:rPr>
        <w:t xml:space="preserve">.</w:t>
      </w:r>
      <w:r>
        <w:rPr>
          <w:sz w:val="20"/>
          <w:szCs w:val="20"/>
          <w14:ligatures w14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Сведения о предмете аукциона: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Лот №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адрес</w:t>
      </w:r>
      <w:r>
        <w:rPr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проезд Лазурный, земельный участок 2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площадь: 1274 кв</w:t>
      </w:r>
      <w:r>
        <w:rPr>
          <w:sz w:val="20"/>
          <w:szCs w:val="20"/>
        </w:rPr>
        <w:t xml:space="preserve">.м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кадастровый номер: 44:27:090214:174;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категория земель: земли населенных пунктов;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- виды ра</w:t>
      </w:r>
      <w:r>
        <w:rPr>
          <w:sz w:val="20"/>
          <w:szCs w:val="20"/>
        </w:rPr>
        <w:t xml:space="preserve">зрешенного испол</w:t>
      </w:r>
      <w:r>
        <w:rPr>
          <w:sz w:val="20"/>
          <w:szCs w:val="20"/>
        </w:rPr>
        <w:t xml:space="preserve">ьзов</w:t>
      </w:r>
      <w:r>
        <w:rPr>
          <w:sz w:val="20"/>
          <w:szCs w:val="20"/>
        </w:rPr>
        <w:t xml:space="preserve">ания: для индивидуального жилищного строительства;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-т</w:t>
      </w:r>
      <w:r>
        <w:rPr>
          <w:sz w:val="20"/>
          <w:szCs w:val="20"/>
        </w:rPr>
        <w:t xml:space="preserve">ерриториальная зо</w:t>
      </w:r>
      <w:r>
        <w:rPr>
          <w:sz w:val="20"/>
          <w:szCs w:val="20"/>
        </w:rPr>
        <w:t xml:space="preserve">на: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</w:t>
      </w:r>
      <w:r>
        <w:rPr>
          <w:sz w:val="20"/>
          <w:szCs w:val="20"/>
        </w:rPr>
        <w:t xml:space="preserve">она застройки индивидуальными жилы</w:t>
      </w:r>
      <w:r>
        <w:rPr>
          <w:sz w:val="20"/>
          <w:szCs w:val="20"/>
        </w:rPr>
        <w:t xml:space="preserve">ми домами Ж-1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обременения и ограничения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в соответствии с Генеральным планом города Костромы участок расположен в зоне катастрофического затопления, в зоне подтопления и территории с глубиной залегания грунтовых вод до 2х </w:t>
      </w:r>
      <w:r>
        <w:rPr>
          <w:sz w:val="20"/>
          <w:szCs w:val="20"/>
        </w:rPr>
        <w:t xml:space="preserve">метров, а также в границах территории, расположенной в районе поселка Рыбное, в отношении которой постановлением Администрации города Костромы от 19 июня 2019 года № 1026 утвержден проект планировки территории</w:t>
      </w:r>
      <w:r>
        <w:rPr>
          <w:sz w:val="20"/>
          <w:szCs w:val="20"/>
        </w:rPr>
        <w:t xml:space="preserve">, в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sz w:val="20"/>
          <w:szCs w:val="20"/>
        </w:rPr>
        <w:t xml:space="preserve">подзонах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</w:t>
      </w:r>
      <w:r>
        <w:rPr>
          <w:sz w:val="20"/>
          <w:szCs w:val="20"/>
        </w:rPr>
        <w:t xml:space="preserve">3); </w:t>
      </w:r>
      <w:r>
        <w:rPr>
          <w:sz w:val="20"/>
          <w:szCs w:val="20"/>
        </w:rPr>
        <w:t xml:space="preserve">3 пояс зоны санитарной охраны водозаборов поверхностных вод правобережных водозаборных сооружений (Димитровские очистные сооружения водопровода), расположенных: г. Кострома, ул. Коминтерна, д.90, стр.2, и Левобережных водозаборных сооружений (насосно-фильт</w:t>
      </w:r>
      <w:r>
        <w:rPr>
          <w:sz w:val="20"/>
          <w:szCs w:val="20"/>
        </w:rPr>
        <w:t xml:space="preserve">ровальной станции),расположенной: г. Кострома, ул.1 Мая, 2а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(зона с особыми условиями использования территории с реестровым номером </w:t>
      </w:r>
      <w:r>
        <w:rPr>
          <w:sz w:val="20"/>
          <w:szCs w:val="20"/>
        </w:rPr>
        <w:t xml:space="preserve">44:0</w:t>
      </w:r>
      <w:r>
        <w:rPr>
          <w:sz w:val="20"/>
          <w:szCs w:val="20"/>
        </w:rPr>
        <w:t xml:space="preserve">0-6.826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параметры разрешенного строительства: 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информация о возможности подключения (технологич</w:t>
      </w:r>
      <w:r>
        <w:rPr>
          <w:sz w:val="20"/>
          <w:szCs w:val="20"/>
          <w:highlight w:val="white"/>
        </w:rPr>
        <w:t xml:space="preserve">еского присоединения): водоснабжение, водоотведение, ливневая канализация от МУП города Костромы «</w:t>
      </w:r>
      <w:r>
        <w:rPr>
          <w:sz w:val="20"/>
          <w:szCs w:val="20"/>
          <w:highlight w:val="white"/>
        </w:rPr>
        <w:t xml:space="preserve">Костромагорводоканал</w:t>
      </w:r>
      <w:r>
        <w:rPr>
          <w:sz w:val="20"/>
          <w:szCs w:val="20"/>
          <w:highlight w:val="white"/>
        </w:rPr>
        <w:t xml:space="preserve">» от 23.10.2025</w:t>
      </w:r>
      <w:r>
        <w:rPr>
          <w:sz w:val="20"/>
          <w:szCs w:val="20"/>
          <w:highlight w:val="white"/>
        </w:rPr>
        <w:br/>
        <w:t xml:space="preserve">№ исх.02.11/7371д, от 23.10.2025 № исх.02.11/7389д; газоснабжение от ООО «Газпром газораспределение Кострома» от 24.10.2025</w:t>
      </w:r>
      <w:r>
        <w:rPr>
          <w:sz w:val="20"/>
          <w:szCs w:val="20"/>
          <w:highlight w:val="white"/>
        </w:rPr>
        <w:t xml:space="preserve"> № ИС-15/5445, теплоснабжение от ПАО «ТГК-2» от 29.10.2025 № Исх4201/1358-2025, от МУП г</w:t>
      </w:r>
      <w:r>
        <w:rPr>
          <w:sz w:val="20"/>
          <w:szCs w:val="20"/>
          <w:highlight w:val="white"/>
        </w:rPr>
        <w:t xml:space="preserve">.К</w:t>
      </w:r>
      <w:r>
        <w:rPr>
          <w:sz w:val="20"/>
          <w:szCs w:val="20"/>
          <w:highlight w:val="white"/>
        </w:rPr>
        <w:t xml:space="preserve">остромы «Городские сети» от 27.10.2025 № 13-01/04523; 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начальная цена земельного участка: 1 908 000</w:t>
      </w:r>
      <w:r>
        <w:rPr>
          <w:sz w:val="20"/>
          <w:szCs w:val="20"/>
        </w:rPr>
        <w:t xml:space="preserve"> (Один миллион девятьсот восемь тысяч</w:t>
      </w:r>
      <w:r>
        <w:rPr>
          <w:sz w:val="20"/>
          <w:szCs w:val="20"/>
        </w:rPr>
        <w:t xml:space="preserve">) рублей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шаг аукци</w:t>
      </w:r>
      <w:r>
        <w:rPr>
          <w:sz w:val="20"/>
          <w:szCs w:val="20"/>
        </w:rPr>
        <w:t xml:space="preserve">она: 57 240</w:t>
      </w:r>
      <w:r>
        <w:rPr>
          <w:sz w:val="20"/>
          <w:szCs w:val="20"/>
        </w:rPr>
        <w:t xml:space="preserve"> (Пятьдесят семь </w:t>
      </w:r>
      <w:r>
        <w:rPr>
          <w:sz w:val="20"/>
          <w:szCs w:val="20"/>
        </w:rPr>
        <w:t xml:space="preserve">тысяч двести сорок)</w:t>
      </w:r>
      <w:r>
        <w:rPr>
          <w:sz w:val="20"/>
          <w:szCs w:val="20"/>
        </w:rPr>
        <w:t xml:space="preserve"> рублей;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размер задатка:477 000</w:t>
      </w:r>
      <w:r>
        <w:rPr>
          <w:sz w:val="20"/>
          <w:szCs w:val="20"/>
        </w:rPr>
        <w:t xml:space="preserve"> (Четыреста семьдесят семь тысяч</w:t>
      </w:r>
      <w:r>
        <w:rPr>
          <w:sz w:val="20"/>
          <w:szCs w:val="20"/>
        </w:rPr>
        <w:t xml:space="preserve">) рублей.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-д</w:t>
      </w:r>
      <w:r>
        <w:rPr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- 19.06.2020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Лот №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адрес</w:t>
      </w:r>
      <w:r>
        <w:rPr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проезд Лазурный, земельный участок 4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площадь: 1449 кв</w:t>
      </w:r>
      <w:r>
        <w:rPr>
          <w:sz w:val="20"/>
          <w:szCs w:val="20"/>
        </w:rPr>
        <w:t xml:space="preserve">.м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кадастровый номер: 44:27:090214:171;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категория земель: земли населенных пунктов;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- виды ра</w:t>
      </w:r>
      <w:r>
        <w:rPr>
          <w:sz w:val="20"/>
          <w:szCs w:val="20"/>
        </w:rPr>
        <w:t xml:space="preserve">зрешенного испол</w:t>
      </w:r>
      <w:r>
        <w:rPr>
          <w:sz w:val="20"/>
          <w:szCs w:val="20"/>
        </w:rPr>
        <w:t xml:space="preserve">ьзов</w:t>
      </w:r>
      <w:r>
        <w:rPr>
          <w:sz w:val="20"/>
          <w:szCs w:val="20"/>
        </w:rPr>
        <w:t xml:space="preserve">ания: для индивидуального жилищного строительства;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-т</w:t>
      </w:r>
      <w:r>
        <w:rPr>
          <w:sz w:val="20"/>
          <w:szCs w:val="20"/>
        </w:rPr>
        <w:t xml:space="preserve">ерриториальная зо</w:t>
      </w:r>
      <w:r>
        <w:rPr>
          <w:sz w:val="20"/>
          <w:szCs w:val="20"/>
        </w:rPr>
        <w:t xml:space="preserve">на: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</w:t>
      </w:r>
      <w:r>
        <w:rPr>
          <w:sz w:val="20"/>
          <w:szCs w:val="20"/>
        </w:rPr>
        <w:t xml:space="preserve">она застройки индивидуальными жилы</w:t>
      </w:r>
      <w:r>
        <w:rPr>
          <w:sz w:val="20"/>
          <w:szCs w:val="20"/>
        </w:rPr>
        <w:t xml:space="preserve">ми домами Ж-1</w:t>
      </w:r>
      <w:r>
        <w:rPr>
          <w:sz w:val="20"/>
          <w:szCs w:val="20"/>
        </w:rPr>
        <w:t xml:space="preserve">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обременения и ограниче</w:t>
      </w:r>
      <w:r>
        <w:rPr>
          <w:sz w:val="20"/>
          <w:szCs w:val="20"/>
        </w:rPr>
        <w:t xml:space="preserve">ния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соответствии с Генеральным планом города Костромы участок расположен в зоне катастрофического затопления, в зоне подтопления и территории с глубиной залегания грунтовых вод до 2х </w:t>
      </w:r>
      <w:r>
        <w:rPr>
          <w:sz w:val="20"/>
          <w:szCs w:val="20"/>
        </w:rPr>
        <w:t xml:space="preserve">метров, а также в границах территории, расположенной в районе поселка Рыбное, в отношении которой постановлением Администрации города Костромы от 19 июня 2019 года № 1026 утвержден проект планировки территории</w:t>
      </w:r>
      <w:r>
        <w:rPr>
          <w:sz w:val="20"/>
          <w:szCs w:val="20"/>
        </w:rPr>
        <w:t xml:space="preserve">, в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sz w:val="20"/>
          <w:szCs w:val="20"/>
        </w:rPr>
        <w:t xml:space="preserve">подзонах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</w:t>
      </w:r>
      <w:r>
        <w:rPr>
          <w:sz w:val="20"/>
          <w:szCs w:val="20"/>
        </w:rPr>
        <w:t xml:space="preserve">3); </w:t>
      </w:r>
      <w:r>
        <w:rPr>
          <w:sz w:val="20"/>
          <w:szCs w:val="20"/>
        </w:rPr>
        <w:t xml:space="preserve">3 пояс зоны санитарной охраны водозаборов поверхностных вод правобережных водозаборных сооружений (Димитровские очистные сооружения водопровода), расположенных: г. Кострома, ул. Коминтерна, д.90, стр.2, и Левобережных водозаборных сооружений (насосно-фильт</w:t>
      </w:r>
      <w:r>
        <w:rPr>
          <w:sz w:val="20"/>
          <w:szCs w:val="20"/>
        </w:rPr>
        <w:t xml:space="preserve">ровальной станции),расположенной: г. Кострома, ул.1 Мая, 2а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(зона с особыми условиями использования территории с реестровым номером </w:t>
      </w:r>
      <w:r>
        <w:rPr>
          <w:sz w:val="20"/>
          <w:szCs w:val="20"/>
        </w:rPr>
        <w:t xml:space="preserve">44:0</w:t>
      </w:r>
      <w:r>
        <w:rPr>
          <w:sz w:val="20"/>
          <w:szCs w:val="20"/>
        </w:rPr>
        <w:t xml:space="preserve">0-6.826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параметры разрешенного строительства: 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информация о возможности подключения (технологич</w:t>
      </w:r>
      <w:r>
        <w:rPr>
          <w:sz w:val="20"/>
          <w:szCs w:val="20"/>
          <w:highlight w:val="white"/>
        </w:rPr>
        <w:t xml:space="preserve">еского присоединения): водоснабжение, водоотведение, ливневая канализация от МУП города Костромы «</w:t>
      </w:r>
      <w:r>
        <w:rPr>
          <w:sz w:val="20"/>
          <w:szCs w:val="20"/>
          <w:highlight w:val="white"/>
        </w:rPr>
        <w:t xml:space="preserve">Костромагорводоканал</w:t>
      </w:r>
      <w:r>
        <w:rPr>
          <w:sz w:val="20"/>
          <w:szCs w:val="20"/>
          <w:highlight w:val="white"/>
        </w:rPr>
        <w:t xml:space="preserve">» от 23.10.2025</w:t>
      </w:r>
      <w:r>
        <w:rPr>
          <w:sz w:val="20"/>
          <w:szCs w:val="20"/>
          <w:highlight w:val="white"/>
        </w:rPr>
        <w:br/>
        <w:t xml:space="preserve">№ исх.02.11/7371д, от 23.10.2025 № исх.02.11/7387д; газоснабжение от ООО «Газпром газораспределение Кострома» от 24.10.2025</w:t>
      </w:r>
      <w:r>
        <w:rPr>
          <w:sz w:val="20"/>
          <w:szCs w:val="20"/>
          <w:highlight w:val="white"/>
        </w:rPr>
        <w:t xml:space="preserve"> № ИС-15/5446, теплоснабжение от ПАО «ТГК-2» от 29.10.2025 № Исх4201/1358-2025, от МУП г</w:t>
      </w:r>
      <w:r>
        <w:rPr>
          <w:sz w:val="20"/>
          <w:szCs w:val="20"/>
          <w:highlight w:val="white"/>
        </w:rPr>
        <w:t xml:space="preserve">.К</w:t>
      </w:r>
      <w:r>
        <w:rPr>
          <w:sz w:val="20"/>
          <w:szCs w:val="20"/>
          <w:highlight w:val="white"/>
        </w:rPr>
        <w:t xml:space="preserve">остромы «Городские сети» от 27.10.2025 № 13-01/04521; 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начальная цена земельного участка: 2 171 000</w:t>
      </w:r>
      <w:r>
        <w:rPr>
          <w:sz w:val="20"/>
          <w:szCs w:val="20"/>
        </w:rPr>
        <w:t xml:space="preserve"> (Два миллиона сто семьдесят одна тысяча</w:t>
      </w:r>
      <w:r>
        <w:rPr>
          <w:sz w:val="20"/>
          <w:szCs w:val="20"/>
        </w:rPr>
        <w:t xml:space="preserve">) рублей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шаг аукци</w:t>
      </w:r>
      <w:r>
        <w:rPr>
          <w:sz w:val="20"/>
          <w:szCs w:val="20"/>
        </w:rPr>
        <w:t xml:space="preserve">она: 65 130</w:t>
      </w:r>
      <w:r>
        <w:rPr>
          <w:sz w:val="20"/>
          <w:szCs w:val="20"/>
        </w:rPr>
        <w:t xml:space="preserve"> (Шестьдесят пять </w:t>
      </w:r>
      <w:r>
        <w:rPr>
          <w:sz w:val="20"/>
          <w:szCs w:val="20"/>
        </w:rPr>
        <w:t xml:space="preserve">тысяч сто тридцать)</w:t>
      </w:r>
      <w:r>
        <w:rPr>
          <w:sz w:val="20"/>
          <w:szCs w:val="20"/>
        </w:rPr>
        <w:t xml:space="preserve"> рублей;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размер задатка: 542 750</w:t>
      </w:r>
      <w:r>
        <w:rPr>
          <w:sz w:val="20"/>
          <w:szCs w:val="20"/>
        </w:rPr>
        <w:t xml:space="preserve"> (Пятьсот сорок две тысячи семьсот пятьдесят</w:t>
      </w:r>
      <w:r>
        <w:rPr>
          <w:sz w:val="20"/>
          <w:szCs w:val="20"/>
        </w:rPr>
        <w:t xml:space="preserve">) рублей.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-д</w:t>
      </w:r>
      <w:r>
        <w:rPr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- 19.06.2020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4</w:t>
      </w:r>
      <w:r>
        <w:rPr>
          <w:sz w:val="20"/>
          <w:szCs w:val="20"/>
          <w:highlight w:val="white"/>
        </w:rPr>
        <w:t xml:space="preserve">. Организатор аукц</w:t>
      </w:r>
      <w:r>
        <w:rPr>
          <w:sz w:val="20"/>
          <w:szCs w:val="20"/>
          <w:highlight w:val="white"/>
        </w:rPr>
        <w:t xml:space="preserve">иона – Управление имущественных и земельных отношений Администрации города Костромы; место нахождения: 156005, Костромская область, город Кострома, площадь Конституции, 2; телефон (4942) 42-68-41, 44-07-64; </w:t>
      </w:r>
      <w:r>
        <w:rPr>
          <w:sz w:val="20"/>
          <w:szCs w:val="20"/>
          <w:highlight w:val="white"/>
        </w:rPr>
        <w:t xml:space="preserve">e-mail</w:t>
      </w:r>
      <w:r>
        <w:rPr>
          <w:sz w:val="20"/>
          <w:szCs w:val="20"/>
          <w:highlight w:val="white"/>
        </w:rPr>
        <w:t xml:space="preserve">: uizo@gradkostroma.ru (далее – организатор</w:t>
      </w:r>
      <w:r>
        <w:rPr>
          <w:sz w:val="20"/>
          <w:szCs w:val="20"/>
          <w:highlight w:val="white"/>
        </w:rPr>
        <w:t xml:space="preserve">).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5</w:t>
      </w:r>
      <w:r>
        <w:rPr>
          <w:sz w:val="20"/>
          <w:szCs w:val="20"/>
          <w:highlight w:val="white"/>
        </w:rPr>
        <w:t xml:space="preserve">. Для участия в аукционе заявители представляют в установленный в извещении о проведен</w:t>
      </w:r>
      <w:r>
        <w:rPr>
          <w:sz w:val="20"/>
          <w:szCs w:val="20"/>
          <w:highlight w:val="white"/>
        </w:rPr>
        <w:t xml:space="preserve">ии ау</w:t>
      </w:r>
      <w:r>
        <w:rPr>
          <w:sz w:val="20"/>
          <w:szCs w:val="20"/>
          <w:highlight w:val="white"/>
        </w:rPr>
        <w:t xml:space="preserve">кциона срок следующие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- заявка </w:t>
      </w:r>
      <w:r>
        <w:rPr>
          <w:sz w:val="20"/>
          <w:szCs w:val="20"/>
          <w:highlight w:val="white"/>
        </w:rPr>
        <w:t xml:space="preserve">на участие в аукционе по установленной в извещении о проведении</w:t>
      </w:r>
      <w:r>
        <w:rPr>
          <w:sz w:val="20"/>
          <w:szCs w:val="20"/>
          <w:highlight w:val="white"/>
        </w:rPr>
        <w:t xml:space="preserve"> аукциона форме с указанием банковских реквизитов счета для возврата задатка (Приложение 1);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копии документов, удостоверяющих личность заявителя (для граждан)</w:t>
      </w:r>
      <w:r>
        <w:rPr>
          <w:sz w:val="20"/>
          <w:szCs w:val="20"/>
          <w:highlight w:val="white"/>
        </w:rPr>
        <w:t xml:space="preserve">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-надлежащим образом за</w:t>
      </w:r>
      <w:r>
        <w:rPr>
          <w:sz w:val="20"/>
          <w:szCs w:val="20"/>
          <w:highlight w:val="white"/>
        </w:rPr>
        <w:t xml:space="preserve">веренный перевод </w:t>
      </w:r>
      <w:r>
        <w:rPr>
          <w:sz w:val="20"/>
          <w:szCs w:val="20"/>
          <w:highlight w:val="white"/>
        </w:rPr>
        <w:t xml:space="preserve"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r>
        <w:rPr>
          <w:sz w:val="20"/>
          <w:szCs w:val="20"/>
          <w:highlight w:val="white"/>
        </w:rPr>
        <w:t xml:space="preserve">, если заявителем является иностранное юридическое ли</w:t>
      </w:r>
      <w:r>
        <w:rPr>
          <w:sz w:val="20"/>
          <w:szCs w:val="20"/>
          <w:highlight w:val="white"/>
        </w:rPr>
        <w:t xml:space="preserve">цо.</w:t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</w:t>
      </w:r>
      <w:r>
        <w:rPr>
          <w:sz w:val="20"/>
          <w:szCs w:val="20"/>
          <w:highlight w:val="white"/>
        </w:rPr>
        <w:t xml:space="preserve"> заявителем денежных средств в </w:t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white"/>
        </w:rPr>
        <w:t xml:space="preserve">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</w:t>
      </w:r>
      <w:r>
        <w:rPr>
          <w:sz w:val="20"/>
          <w:szCs w:val="20"/>
          <w:highlight w:val="white"/>
        </w:rPr>
        <w:t xml:space="preserve">тора электронной площадки признается заключением соглашения</w:t>
      </w:r>
      <w:r>
        <w:rPr>
          <w:sz w:val="20"/>
          <w:szCs w:val="20"/>
          <w:highlight w:val="white"/>
        </w:rPr>
        <w:t xml:space="preserve"> о задатке.</w:t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none"/>
          <w14:ligatures w14:val="none"/>
        </w:rPr>
      </w:r>
      <w:r>
        <w:rPr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white"/>
        </w:rPr>
        <w:t xml:space="preserve">Заявка на участие в электронном аукционе с указанием </w:t>
      </w:r>
      <w:r>
        <w:rPr>
          <w:sz w:val="20"/>
          <w:szCs w:val="20"/>
        </w:rPr>
        <w:t xml:space="preserve">банковских реквизитов счета для возврата задатка направляется оператору электронной площадки </w:t>
      </w:r>
      <w:r>
        <w:rPr>
          <w:rFonts w:eastAsia="Calibri"/>
          <w:sz w:val="20"/>
          <w:szCs w:val="20"/>
        </w:rPr>
        <w:t xml:space="preserve">на сайте </w:t>
      </w:r>
      <w:hyperlink r:id="rId9" w:tooltip="https://www.rts-tender.ru/" w:history="1">
        <w:r>
          <w:rPr>
            <w:rStyle w:val="766"/>
            <w:rFonts w:eastAsia="Calibri"/>
            <w:sz w:val="20"/>
            <w:szCs w:val="20"/>
          </w:rPr>
          <w:t xml:space="preserve">https://www.rts-tender.ru/</w:t>
        </w:r>
      </w:hyperlink>
      <w:r>
        <w:rPr>
          <w:rFonts w:eastAsia="Calibri"/>
          <w:sz w:val="20"/>
          <w:szCs w:val="20"/>
        </w:rPr>
        <w:t xml:space="preserve"> (ООО «РТС-тендер») </w:t>
      </w:r>
      <w:r>
        <w:rPr>
          <w:sz w:val="20"/>
          <w:szCs w:val="20"/>
        </w:rPr>
        <w:t xml:space="preserve">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</w:t>
      </w:r>
      <w:r>
        <w:rPr>
          <w:sz w:val="20"/>
          <w:szCs w:val="20"/>
        </w:rPr>
        <w:t xml:space="preserve">фицированной электронной подписью заявителя.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Одно лицо имеет право подать только одну заявку </w:t>
      </w:r>
      <w:r>
        <w:rPr>
          <w:rFonts w:ascii="Times New Roman" w:hAnsi="Times New Roman"/>
          <w:bCs/>
          <w:sz w:val="20"/>
          <w:szCs w:val="20"/>
        </w:rPr>
        <w:t xml:space="preserve">на один ЛОТ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Заявка на участие в аукционе, поступившая по истечении срока приема заявок, возвращается заявителю в день ее поступлен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ия.</w:t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в течение трех рабочих дней со дня подписания протокола о результатах электронного аукциона.</w:t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Заявитель не допускается к уч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астию в аукционе в следующих случаях: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непоступление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 задатка на дату рассмотрения заявок на участие в аукционе;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подача заявки на участие в аукционе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заявителя, являющегося юридическим лицом, в предусмотренном реестре недобро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совестных участников аукциона.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начала подачи заявок: 24 июля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2026 года с 10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окончания подачи заявок: 14 августа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2026 года в 18 час 00 мин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6. </w:t>
      </w:r>
      <w:r>
        <w:rPr>
          <w:b/>
          <w:sz w:val="20"/>
          <w:szCs w:val="20"/>
          <w:shd w:val="clear" w:color="auto" w:fill="ffffff"/>
        </w:rPr>
        <w:t xml:space="preserve">Срок, место и порядок предоставления и</w:t>
      </w:r>
      <w:r>
        <w:rPr>
          <w:b/>
          <w:sz w:val="20"/>
          <w:szCs w:val="20"/>
          <w:shd w:val="clear" w:color="auto" w:fill="ffffff"/>
        </w:rPr>
        <w:t xml:space="preserve">нформационного сообщения</w:t>
      </w:r>
      <w:r>
        <w:rPr>
          <w:sz w:val="20"/>
          <w:szCs w:val="20"/>
          <w:shd w:val="clear" w:color="auto" w:fill="ffffff"/>
        </w:rPr>
        <w:t xml:space="preserve">, электронный адрес сайта в информационно-телекоммуникационной сети Интернет </w:t>
      </w:r>
      <w:hyperlink r:id="rId10" w:tooltip="http://www.rts-tender.ru/" w:history="1">
        <w:r>
          <w:rPr>
            <w:rStyle w:val="766"/>
            <w:sz w:val="20"/>
            <w:szCs w:val="20"/>
            <w:lang w:val="en-US"/>
          </w:rPr>
          <w:t xml:space="preserve">www</w:t>
        </w:r>
        <w:r>
          <w:rPr>
            <w:rStyle w:val="766"/>
            <w:sz w:val="20"/>
            <w:szCs w:val="20"/>
          </w:rPr>
          <w:t xml:space="preserve">. </w:t>
        </w:r>
        <w:r>
          <w:rPr>
            <w:rStyle w:val="766"/>
            <w:sz w:val="20"/>
            <w:szCs w:val="20"/>
            <w:lang w:val="en-US"/>
          </w:rPr>
          <w:t xml:space="preserve">i</w:t>
        </w:r>
        <w:r>
          <w:rPr>
            <w:rStyle w:val="766"/>
            <w:sz w:val="20"/>
            <w:szCs w:val="20"/>
          </w:rPr>
          <w:t xml:space="preserve">.</w:t>
        </w:r>
        <w:r>
          <w:rPr>
            <w:rStyle w:val="766"/>
            <w:sz w:val="20"/>
            <w:szCs w:val="20"/>
            <w:lang w:val="en-US"/>
          </w:rPr>
          <w:t xml:space="preserve">rts</w:t>
        </w:r>
        <w:r>
          <w:rPr>
            <w:rStyle w:val="766"/>
            <w:sz w:val="20"/>
            <w:szCs w:val="20"/>
          </w:rPr>
          <w:t xml:space="preserve">-</w:t>
        </w:r>
        <w:r>
          <w:rPr>
            <w:rStyle w:val="766"/>
            <w:sz w:val="20"/>
            <w:szCs w:val="20"/>
            <w:lang w:val="en-US"/>
          </w:rPr>
          <w:t xml:space="preserve">tender</w:t>
        </w:r>
        <w:r>
          <w:rPr>
            <w:rStyle w:val="766"/>
            <w:sz w:val="20"/>
            <w:szCs w:val="20"/>
          </w:rPr>
          <w:t xml:space="preserve">.</w:t>
        </w:r>
        <w:r>
          <w:rPr>
            <w:rStyle w:val="766"/>
            <w:sz w:val="20"/>
            <w:szCs w:val="20"/>
            <w:lang w:val="en-US"/>
          </w:rPr>
          <w:t xml:space="preserve">ru</w:t>
        </w:r>
      </w:hyperlink>
      <w:r>
        <w:rPr>
          <w:sz w:val="20"/>
          <w:szCs w:val="20"/>
        </w:rPr>
        <w:t xml:space="preserve">  (ООО «РТС-тендер»)</w:t>
      </w:r>
      <w:r>
        <w:rPr>
          <w:sz w:val="20"/>
          <w:szCs w:val="20"/>
          <w:shd w:val="clear" w:color="auto" w:fill="ffffff"/>
        </w:rPr>
        <w:t xml:space="preserve">, на котором размещается информационное сооб</w:t>
      </w:r>
      <w:r>
        <w:rPr>
          <w:sz w:val="20"/>
          <w:szCs w:val="20"/>
          <w:shd w:val="clear" w:color="auto" w:fill="ffffff"/>
        </w:rPr>
        <w:t xml:space="preserve">щение: информационное сообщение размещается на официальных сайтах торгов и на электронной площадке. С информационным сообщением можно ознакомиться </w:t>
      </w:r>
      <w:r>
        <w:rPr>
          <w:sz w:val="20"/>
          <w:szCs w:val="20"/>
          <w:shd w:val="clear" w:color="auto" w:fill="ffffff"/>
        </w:rPr>
        <w:t xml:space="preserve">с даты размещения</w:t>
      </w:r>
      <w:r>
        <w:rPr>
          <w:sz w:val="20"/>
          <w:szCs w:val="20"/>
          <w:shd w:val="clear" w:color="auto" w:fill="ffffff"/>
        </w:rPr>
        <w:t xml:space="preserve"> информационного сообщения на официальных сайтах: на официальном сайте Российской Федерации </w:t>
      </w:r>
      <w:r>
        <w:rPr>
          <w:sz w:val="20"/>
          <w:szCs w:val="20"/>
          <w:shd w:val="clear" w:color="auto" w:fill="ffffff"/>
        </w:rPr>
        <w:t xml:space="preserve">для размещения информации о проведении торгов, определенном Правительством Российской Федерации, на официальном сайте Администрации города Костромы,  а также на электронной площадке www.rts-tender.ru до даты окончания приема заявок.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7. </w:t>
      </w:r>
      <w:r>
        <w:rPr>
          <w:b/>
          <w:sz w:val="20"/>
          <w:szCs w:val="20"/>
          <w:shd w:val="clear" w:color="auto" w:fill="ffffff"/>
        </w:rPr>
        <w:t xml:space="preserve">Порядок внесения и в</w:t>
      </w:r>
      <w:r>
        <w:rPr>
          <w:b/>
          <w:sz w:val="20"/>
          <w:szCs w:val="20"/>
          <w:shd w:val="clear" w:color="auto" w:fill="ffffff"/>
        </w:rPr>
        <w:t xml:space="preserve">озврата задатка, банковские реквизиты счета для перечисления задатка.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shd w:val="clear" w:color="auto" w:fill="ffffff"/>
        </w:rPr>
        <w:t xml:space="preserve">Порядок внесения задатка определяется регламентом работы электронной площадки Организатора </w:t>
      </w:r>
      <w:r>
        <w:rPr>
          <w:sz w:val="20"/>
          <w:szCs w:val="20"/>
          <w:shd w:val="clear" w:color="auto" w:fill="ffffff"/>
        </w:rPr>
        <w:t xml:space="preserve">www.rts-tender.ru</w:t>
      </w:r>
      <w:r>
        <w:rPr>
          <w:sz w:val="20"/>
          <w:szCs w:val="20"/>
          <w:shd w:val="clear" w:color="auto" w:fill="ffffff"/>
        </w:rPr>
        <w:t xml:space="preserve">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Для участия в аукционе в электронной форме установлено требование о внесении</w:t>
      </w:r>
      <w:r>
        <w:rPr>
          <w:sz w:val="20"/>
          <w:szCs w:val="20"/>
          <w:lang w:eastAsia="en-US"/>
        </w:rPr>
        <w:t xml:space="preserve"> задатка. 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firstLine="709"/>
        <w:jc w:val="both"/>
        <w:rPr>
          <w:sz w:val="20"/>
          <w:szCs w:val="20"/>
          <w:highlight w:val="none"/>
          <w:lang w:eastAsia="en-US"/>
        </w:rPr>
      </w:pPr>
      <w:r>
        <w:rPr>
          <w:sz w:val="20"/>
          <w:szCs w:val="20"/>
          <w:lang w:eastAsia="en-US"/>
        </w:rPr>
        <w:t xml:space="preserve">В целях исполнения данного требования Заявитель обеспечивает наличие денежных средств на счёте Оператора электронной площадки в размере, не менее суммы задатка, установленного в настоящей аукционной документации.</w:t>
      </w:r>
      <w:r>
        <w:rPr>
          <w:sz w:val="20"/>
          <w:szCs w:val="20"/>
          <w:highlight w:val="none"/>
          <w:lang w:eastAsia="en-US"/>
        </w:rPr>
      </w:r>
      <w:r>
        <w:rPr>
          <w:sz w:val="20"/>
          <w:szCs w:val="20"/>
          <w:highlight w:val="none"/>
          <w:lang w:eastAsia="en-US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За</w:t>
      </w:r>
      <w:r>
        <w:rPr>
          <w:sz w:val="20"/>
          <w:szCs w:val="20"/>
          <w:lang w:eastAsia="en-US"/>
        </w:rPr>
        <w:t xml:space="preserve">числение денежных средств на счёт Оператора электронной площадки производится в срок до даты рассмотрения заяв</w:t>
      </w:r>
      <w:r>
        <w:rPr>
          <w:sz w:val="20"/>
          <w:szCs w:val="20"/>
          <w:highlight w:val="white"/>
          <w:lang w:eastAsia="en-US"/>
        </w:rPr>
        <w:t xml:space="preserve">ок</w:t>
      </w:r>
      <w:r>
        <w:rPr>
          <w:sz w:val="20"/>
          <w:szCs w:val="20"/>
          <w:highlight w:val="white"/>
          <w:shd w:val="clear" w:color="auto" w:fill="ffffff"/>
        </w:rPr>
        <w:t xml:space="preserve"> (</w:t>
      </w:r>
      <w:r>
        <w:rPr>
          <w:sz w:val="20"/>
          <w:szCs w:val="20"/>
          <w:highlight w:val="white"/>
          <w:shd w:val="clear" w:color="auto" w:fill="ffffff"/>
        </w:rPr>
        <w:t xml:space="preserve">не позднее:</w:t>
      </w:r>
      <w:r>
        <w:rPr>
          <w:b/>
          <w:bCs/>
          <w:sz w:val="20"/>
          <w:szCs w:val="20"/>
          <w:highlight w:val="white"/>
          <w:shd w:val="clear" w:color="auto" w:fill="ffffff"/>
        </w:rPr>
        <w:t xml:space="preserve"> 18 августа</w:t>
      </w:r>
      <w:r>
        <w:rPr>
          <w:b/>
          <w:bCs/>
          <w:sz w:val="20"/>
          <w:szCs w:val="20"/>
          <w:highlight w:val="white"/>
          <w:shd w:val="clear" w:color="auto" w:fill="ffffff"/>
        </w:rPr>
        <w:t xml:space="preserve"> 2</w:t>
      </w:r>
      <w:r>
        <w:rPr>
          <w:b/>
          <w:sz w:val="20"/>
          <w:szCs w:val="20"/>
          <w:highlight w:val="white"/>
          <w:shd w:val="clear" w:color="auto" w:fill="ffffff"/>
        </w:rPr>
        <w:t xml:space="preserve">026 года 10 час. 00 </w:t>
      </w:r>
      <w:r>
        <w:rPr>
          <w:b/>
          <w:sz w:val="20"/>
          <w:szCs w:val="20"/>
          <w:highlight w:val="white"/>
          <w:shd w:val="clear" w:color="auto" w:fill="ffffff"/>
        </w:rPr>
        <w:t xml:space="preserve">мин</w:t>
      </w:r>
      <w:r>
        <w:rPr>
          <w:sz w:val="20"/>
          <w:szCs w:val="20"/>
          <w:highlight w:val="white"/>
          <w:shd w:val="clear" w:color="auto" w:fill="ffffff"/>
        </w:rPr>
        <w:t xml:space="preserve"> </w:t>
      </w:r>
      <w:r>
        <w:rPr>
          <w:sz w:val="20"/>
          <w:szCs w:val="20"/>
          <w:highlight w:val="white"/>
          <w:shd w:val="clear" w:color="auto" w:fill="ffffff"/>
        </w:rPr>
        <w:t xml:space="preserve">время московское)</w:t>
      </w:r>
      <w:r>
        <w:rPr>
          <w:sz w:val="20"/>
          <w:szCs w:val="20"/>
          <w:highlight w:val="white"/>
          <w:lang w:eastAsia="en-US"/>
        </w:rPr>
        <w:t xml:space="preserve"> </w:t>
      </w:r>
      <w:r>
        <w:rPr>
          <w:sz w:val="20"/>
          <w:szCs w:val="20"/>
          <w:highlight w:val="white"/>
          <w:lang w:eastAsia="en-US"/>
        </w:rPr>
        <w:t xml:space="preserve">в</w:t>
      </w:r>
      <w:r>
        <w:rPr>
          <w:sz w:val="20"/>
          <w:szCs w:val="20"/>
          <w:highlight w:val="white"/>
          <w:lang w:eastAsia="en-US"/>
        </w:rPr>
        <w:t xml:space="preserve"> соо</w:t>
      </w:r>
      <w:r>
        <w:rPr>
          <w:sz w:val="20"/>
          <w:szCs w:val="20"/>
          <w:lang w:eastAsia="en-US"/>
        </w:rPr>
        <w:t xml:space="preserve">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</w:t>
      </w:r>
      <w:r>
        <w:rPr>
          <w:sz w:val="20"/>
          <w:szCs w:val="20"/>
          <w:lang w:eastAsia="en-US"/>
        </w:rPr>
        <w:t xml:space="preserve">ектронной площадке по следующим реквизитам: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Получатель платежа: ООО «РТС-тендер»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Банковские реквизиты: Филиал «Корпоративный» ПАО «</w:t>
      </w:r>
      <w:r>
        <w:rPr>
          <w:sz w:val="20"/>
          <w:szCs w:val="20"/>
          <w:lang w:eastAsia="en-US"/>
        </w:rPr>
        <w:t xml:space="preserve">Совкомбанк</w:t>
      </w:r>
      <w:r>
        <w:rPr>
          <w:sz w:val="20"/>
          <w:szCs w:val="20"/>
          <w:lang w:eastAsia="en-US"/>
        </w:rPr>
        <w:t xml:space="preserve">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БИК 044525360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Расчётный счёт: 40702810512030016362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Корр. счёт 30101810445250000360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ИНН 7710357167 КПП 773001001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Н</w:t>
      </w:r>
      <w:r>
        <w:rPr>
          <w:sz w:val="20"/>
          <w:szCs w:val="20"/>
          <w:lang w:eastAsia="en-US"/>
        </w:rPr>
        <w:t xml:space="preserve">азначение платежа: «Внесение гарантийного обеспечения по Соглашению о внесении гарантийного обеспечения, № аналитического счета, без НДС».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Денежные средства, перечисленные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</w:t>
      </w:r>
      <w:r>
        <w:rPr>
          <w:sz w:val="20"/>
          <w:szCs w:val="20"/>
          <w:lang w:eastAsia="en-US"/>
        </w:rPr>
        <w:t xml:space="preserve">онной площадке на счет Оператора электронной площадки, учитываются на счете Заявителя, открытом у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Денежные средства в размере, равном задатку, блокируются Оператором электронной площадки на счете Заявителя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площадке. Основанием для блокирования денежных средств явля</w:t>
      </w:r>
      <w:r>
        <w:rPr>
          <w:sz w:val="20"/>
          <w:szCs w:val="20"/>
          <w:lang w:eastAsia="en-US"/>
        </w:rPr>
        <w:t xml:space="preserve">ется Заявка, направленная Оператору электронной площадки. Заблокированные на счете Заявителя денежные средства являются задатком.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Подача Заявки и блокирование задатка является заключением соглашения о задатке.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В случае если денежных средств на счете Заявит</w:t>
      </w:r>
      <w:r>
        <w:rPr>
          <w:sz w:val="20"/>
          <w:szCs w:val="20"/>
          <w:lang w:eastAsia="en-US"/>
        </w:rPr>
        <w:t xml:space="preserve">еля недостаточно, Оператором электронной площадки Заявка не принимается.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Заявителю необходимо обеспечить на своем аналитическом счете наличие денежных сре</w:t>
      </w:r>
      <w:r>
        <w:rPr>
          <w:sz w:val="20"/>
          <w:szCs w:val="20"/>
        </w:rPr>
        <w:t xml:space="preserve">дств в р</w:t>
      </w:r>
      <w:r>
        <w:rPr>
          <w:sz w:val="20"/>
          <w:szCs w:val="20"/>
        </w:rPr>
        <w:t xml:space="preserve">азмере</w:t>
      </w:r>
      <w:r>
        <w:rPr>
          <w:sz w:val="20"/>
          <w:szCs w:val="20"/>
        </w:rPr>
        <w:t xml:space="preserve"> задатка для участия в аукционе на дату рассмотрения заявок.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Прекращение блокирования денежных средств на счете Заявителя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 производится Оператором электронной площадки в </w:t>
      </w:r>
      <w:r>
        <w:rPr>
          <w:sz w:val="20"/>
          <w:szCs w:val="20"/>
          <w:lang w:eastAsia="en-US"/>
        </w:rPr>
        <w:t xml:space="preserve">следующем порядке: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Заявителя, отозвавшего Заявку до окончания срока приема Заявок, - в течение 3 (трех) рабочих дней со дня отзыва Заявки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</w:t>
      </w:r>
      <w:r>
        <w:rPr>
          <w:sz w:val="20"/>
          <w:szCs w:val="20"/>
          <w:lang w:eastAsia="en-US"/>
        </w:rPr>
        <w:t xml:space="preserve">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Заявителя, не допущенного к участию в аукционе в электронной форме, - в течение 3 (трех) рабочих дней со дня оформления Протокола рассмотрения заявок на участие в аукционе в электронной форме в соответствии с Регламентом Оператора элект</w:t>
      </w:r>
      <w:r>
        <w:rPr>
          <w:sz w:val="20"/>
          <w:szCs w:val="20"/>
          <w:lang w:eastAsia="en-US"/>
        </w:rPr>
        <w:t xml:space="preserve">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Участников, участвовавших в аукционе в электронной форме, но не победивших в нем, - в течение 3 (трех) рабочих дней со дня подписания Протокола о результатах аукциона в электронной форме в соотве</w:t>
      </w:r>
      <w:r>
        <w:rPr>
          <w:sz w:val="20"/>
          <w:szCs w:val="20"/>
          <w:lang w:eastAsia="en-US"/>
        </w:rPr>
        <w:t xml:space="preserve">тствии с Регламентом Оператора электронной площадки, размещенными на электронной площадке, за исключением участника аукциона, который сделал предпоследнее предложение о цене предмета аукциона.</w:t>
      </w:r>
      <w:r>
        <w:rPr>
          <w:sz w:val="20"/>
          <w:szCs w:val="20"/>
          <w:lang w:eastAsia="en-US"/>
        </w:rPr>
        <w:t xml:space="preserve"> Задаток, внесенный таким участником, возвращается ему в течение</w:t>
      </w:r>
      <w:r>
        <w:rPr>
          <w:sz w:val="20"/>
          <w:szCs w:val="20"/>
          <w:lang w:eastAsia="en-US"/>
        </w:rPr>
        <w:t xml:space="preserve"> трех дней со дня подписания договора купли-продажи земельного участка победителем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</w:t>
      </w:r>
      <w:r>
        <w:rPr>
          <w:sz w:val="20"/>
          <w:szCs w:val="20"/>
          <w:lang w:eastAsia="en-US"/>
        </w:rPr>
        <w:t xml:space="preserve">твии с пунктом 13, 14, 20 или 25 </w:t>
      </w:r>
      <w:r>
        <w:rPr>
          <w:sz w:val="20"/>
          <w:szCs w:val="20"/>
        </w:rPr>
        <w:t xml:space="preserve">Земельного кодекса Российской Федерации (далее – Кодекс)</w:t>
      </w:r>
      <w:r>
        <w:rPr>
          <w:sz w:val="20"/>
          <w:szCs w:val="20"/>
          <w:lang w:eastAsia="en-US"/>
        </w:rPr>
        <w:t xml:space="preserve">, засчитываются в оплату приобретаемого земельного участка.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Задатки, внесенные этими лицами, не заключившими в установленном Кодексом порядке договора купли-продажи земельного участка вследствие уклонения от заключения указанных договоров, не возвращаются.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Осмотр земельного участка осуществляется претендентами с</w:t>
      </w:r>
      <w:r>
        <w:rPr>
          <w:sz w:val="20"/>
          <w:szCs w:val="20"/>
        </w:rPr>
        <w:t xml:space="preserve">амостоятельно по месту нахождения участка.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9.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Место, дата, время и порядок определения участников аукцион</w:t>
      </w:r>
      <w:r>
        <w:rPr>
          <w:b/>
          <w:sz w:val="20"/>
          <w:szCs w:val="20"/>
          <w:highlight w:val="white"/>
        </w:rPr>
        <w:t xml:space="preserve">а:</w:t>
      </w:r>
      <w:r>
        <w:rPr>
          <w:b/>
          <w:sz w:val="20"/>
          <w:szCs w:val="20"/>
          <w:highlight w:val="white"/>
        </w:rPr>
        <w:t xml:space="preserve"> 18 августа</w:t>
      </w:r>
      <w:r>
        <w:rPr>
          <w:b/>
          <w:sz w:val="20"/>
          <w:szCs w:val="20"/>
          <w:highlight w:val="white"/>
        </w:rPr>
        <w:t xml:space="preserve"> 2026 года в 10 час</w:t>
      </w:r>
      <w:r>
        <w:rPr>
          <w:b/>
          <w:sz w:val="20"/>
          <w:szCs w:val="20"/>
          <w:highlight w:val="white"/>
        </w:rPr>
        <w:t xml:space="preserve">. </w:t>
      </w:r>
      <w:r>
        <w:rPr>
          <w:b/>
          <w:sz w:val="20"/>
          <w:szCs w:val="20"/>
        </w:rPr>
        <w:t xml:space="preserve">00 мин</w:t>
      </w:r>
      <w:r>
        <w:rPr>
          <w:sz w:val="20"/>
          <w:szCs w:val="20"/>
        </w:rPr>
        <w:t xml:space="preserve">. На электронной площадке </w:t>
      </w:r>
      <w:hyperlink r:id="rId11" w:tooltip="http://www.rts-tender.ru/" w:history="1">
        <w:r>
          <w:rPr>
            <w:rStyle w:val="766"/>
            <w:sz w:val="20"/>
            <w:szCs w:val="20"/>
          </w:rPr>
          <w:t xml:space="preserve">www.rts-tender.ru</w:t>
        </w:r>
      </w:hyperlink>
      <w:r>
        <w:rPr>
          <w:sz w:val="20"/>
          <w:szCs w:val="20"/>
        </w:rPr>
        <w:t xml:space="preserve"> (ООО «РТС-тендер»).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Организатор рассматривает заявки и документы заявителей (претендентов) и устанавливает факт поступления на счёт установленных сумм задатков.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Определение уча</w:t>
      </w:r>
      <w:r>
        <w:rPr>
          <w:sz w:val="20"/>
          <w:szCs w:val="20"/>
        </w:rPr>
        <w:t xml:space="preserve">стников аукциона проводится без участия заявителей (претендентов).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результатам рассмотрения заявок и документов организатор принимает решение о признании заявителей участниками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Заявитель, допущенный к участию в аукционе, приобретает статус уч</w:t>
      </w:r>
      <w:r>
        <w:rPr>
          <w:sz w:val="20"/>
          <w:szCs w:val="20"/>
        </w:rPr>
        <w:t xml:space="preserve">астника аукциона с момента оформления организатором протокола рассмотрения заявок на участ</w:t>
      </w:r>
      <w:r>
        <w:rPr>
          <w:sz w:val="20"/>
          <w:szCs w:val="20"/>
        </w:rPr>
        <w:t xml:space="preserve">ие в аукционе.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r>
        <w:rPr>
          <w:b/>
          <w:bCs/>
          <w:sz w:val="20"/>
          <w:szCs w:val="20"/>
        </w:rPr>
        <w:t xml:space="preserve">Дата, место, время и порядок проведения аукциона: 19 авгус</w:t>
      </w:r>
      <w:r>
        <w:rPr>
          <w:b/>
          <w:bCs/>
          <w:sz w:val="20"/>
          <w:szCs w:val="20"/>
          <w:highlight w:val="white"/>
        </w:rPr>
        <w:t xml:space="preserve">та</w:t>
      </w:r>
      <w:r>
        <w:rPr>
          <w:b/>
          <w:bCs/>
          <w:sz w:val="20"/>
          <w:szCs w:val="20"/>
          <w:highlight w:val="white"/>
        </w:rPr>
        <w:t xml:space="preserve"> 2026 года в 10 ча</w:t>
      </w:r>
      <w:r>
        <w:rPr>
          <w:b/>
          <w:bCs/>
          <w:sz w:val="20"/>
          <w:szCs w:val="20"/>
          <w:highlight w:val="white"/>
        </w:rPr>
        <w:t xml:space="preserve">с. 00 мин. </w:t>
      </w:r>
      <w:r>
        <w:rPr>
          <w:sz w:val="20"/>
          <w:szCs w:val="20"/>
          <w:highlight w:val="white"/>
        </w:rPr>
        <w:t xml:space="preserve">на </w:t>
      </w:r>
      <w:r>
        <w:rPr>
          <w:sz w:val="20"/>
          <w:szCs w:val="20"/>
        </w:rPr>
        <w:t xml:space="preserve">электронной площадке </w:t>
      </w:r>
      <w:hyperlink r:id="rId12" w:tooltip="https://www.rts-tender.ru/" w:history="1">
        <w:r>
          <w:rPr>
            <w:color w:val="0000ff"/>
            <w:sz w:val="20"/>
            <w:szCs w:val="20"/>
            <w:u w:val="single"/>
          </w:rPr>
          <w:t xml:space="preserve">https://www.rts-tender.ru/</w:t>
        </w:r>
      </w:hyperlink>
      <w:r>
        <w:rPr>
          <w:sz w:val="20"/>
          <w:szCs w:val="20"/>
        </w:rPr>
        <w:t xml:space="preserve"> (ООО «РТС-тендер») в соответствии с регламентом </w:t>
      </w:r>
      <w:r>
        <w:rPr>
          <w:sz w:val="20"/>
          <w:szCs w:val="20"/>
        </w:rPr>
        <w:t xml:space="preserve">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Победителем признается участник, предложивший в ходе аукциона наибольшую</w:t>
      </w:r>
      <w:r>
        <w:rPr>
          <w:sz w:val="20"/>
          <w:szCs w:val="20"/>
        </w:rPr>
        <w:t xml:space="preserve"> цену.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12. </w:t>
      </w:r>
      <w:r>
        <w:rPr>
          <w:color w:val="000000"/>
          <w:sz w:val="20"/>
          <w:szCs w:val="20"/>
        </w:rPr>
        <w:t xml:space="preserve">П</w:t>
      </w:r>
      <w:r>
        <w:rPr>
          <w:color w:val="000000"/>
          <w:sz w:val="20"/>
          <w:szCs w:val="20"/>
        </w:rPr>
        <w:t xml:space="preserve">о результатам проведения электронного аукциона договор купли - продажи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</w:t>
      </w:r>
      <w:r>
        <w:rPr>
          <w:color w:val="000000"/>
          <w:sz w:val="20"/>
          <w:szCs w:val="20"/>
        </w:rPr>
        <w:t xml:space="preserve">он такого договора.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Не допускается заключение договора </w:t>
      </w:r>
      <w:r>
        <w:rPr>
          <w:sz w:val="20"/>
          <w:szCs w:val="20"/>
        </w:rPr>
        <w:t xml:space="preserve">ранее</w:t>
      </w:r>
      <w:r>
        <w:rPr>
          <w:sz w:val="20"/>
          <w:szCs w:val="20"/>
        </w:rPr>
        <w:t xml:space="preserve"> чем через 10 (десять) дней со дня размещения информации о результатах аукциона на официальном сайте, в том числе договоров, указанных в пунктах 13 и 14 Кодекса.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0"/>
          <w:szCs w:val="20"/>
        </w:rPr>
        <w:t xml:space="preserve">В случае</w:t>
      </w:r>
      <w:r>
        <w:rPr>
          <w:color w:val="000000"/>
          <w:sz w:val="20"/>
          <w:szCs w:val="20"/>
        </w:rPr>
        <w:t xml:space="preserve">,</w:t>
      </w:r>
      <w:r>
        <w:rPr>
          <w:color w:val="000000"/>
          <w:sz w:val="20"/>
          <w:szCs w:val="20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не поступило ни одного предложения о цене предмета аукциона, которое предусматривало бы более высокую цену предмета </w:t>
      </w:r>
      <w:r>
        <w:rPr>
          <w:color w:val="000000"/>
          <w:sz w:val="20"/>
          <w:szCs w:val="20"/>
        </w:rPr>
        <w:t xml:space="preserve">аукциона, аукцион признается несостоявшимся.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Если единственная заявка на участие в аукционе соответствует указанным в извещении о проведен</w:t>
      </w:r>
      <w:r>
        <w:rPr>
          <w:color w:val="000000"/>
          <w:sz w:val="20"/>
          <w:szCs w:val="20"/>
        </w:rPr>
        <w:t xml:space="preserve">ии ау</w:t>
      </w:r>
      <w:r>
        <w:rPr>
          <w:color w:val="000000"/>
          <w:sz w:val="20"/>
          <w:szCs w:val="20"/>
        </w:rPr>
        <w:t xml:space="preserve">кциона условиям и лицо, подавшее указанную заявку, соответствуют требованиям к участникам аукциона, указанным в и</w:t>
      </w:r>
      <w:r>
        <w:rPr>
          <w:color w:val="000000"/>
          <w:sz w:val="20"/>
          <w:szCs w:val="20"/>
        </w:rPr>
        <w:t xml:space="preserve">звещении о проведении аукциона, Организатор заключает с таким лицом договор купли – продажи земельного участка по начальной цене предмета.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Организатор направляет победителю аукциона или единственному принявшему участие в аукционе его участнику  подписанный</w:t>
      </w:r>
      <w:r>
        <w:rPr>
          <w:sz w:val="20"/>
          <w:szCs w:val="20"/>
        </w:rPr>
        <w:t xml:space="preserve"> проекта договора купли - продажи земельного участка в пятидневный срок со дня истечения 10 (десяти) дней после размещения информации о результатах аукциона на официальном сайте.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При этом договор купли - продажи земельного участка заключается по цене, пред</w:t>
      </w:r>
      <w:r>
        <w:rPr>
          <w:sz w:val="20"/>
          <w:szCs w:val="20"/>
        </w:rPr>
        <w:t xml:space="preserve">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Победитель аукциона в электронной форме или иное лицо, с которым заключается договор</w:t>
      </w:r>
      <w:r>
        <w:rPr>
          <w:sz w:val="20"/>
          <w:szCs w:val="20"/>
          <w:lang w:eastAsia="en-US"/>
        </w:rPr>
        <w:t xml:space="preserve"> купли – продажи земельного участка в соответствии с Кодексом, обязаны подписать договор в течение 10 (десяти) рабочих дней со дня направления им такого договора.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Если договор купли - продажи земельного участка в течение 10 (десяти) рабочих дней со дня нап</w:t>
      </w:r>
      <w:r>
        <w:rPr>
          <w:sz w:val="20"/>
          <w:szCs w:val="20"/>
          <w:lang w:eastAsia="en-US"/>
        </w:rPr>
        <w:t xml:space="preserve">равления победителю аукциона проекта указанного договора не был им подписан и представлен Организатору, Организатор направляет указанный договор участнику аукциона, который сделал предпоследнее предложение о цене предмета аукциона, для их заключения по цен</w:t>
      </w:r>
      <w:r>
        <w:rPr>
          <w:sz w:val="20"/>
          <w:szCs w:val="20"/>
          <w:lang w:eastAsia="en-US"/>
        </w:rPr>
        <w:t xml:space="preserve">е, предложенной таким участником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Сведения о победителях аукциона, уклонившихся от заключения договора купли - продажи земельного участка, являющегося предметом аукциона, и об иных лицах, с которыми указанный договор заключается в соответствии с п</w:t>
      </w:r>
      <w:r>
        <w:rPr>
          <w:sz w:val="20"/>
          <w:szCs w:val="20"/>
          <w:lang w:eastAsia="en-US"/>
        </w:rPr>
        <w:t xml:space="preserve">унктом 13, 20 или 25 статьи 39.12 Кодекса и которые уклонились от их заключения, Организатор направляет сведения в Федеральную антимонопольную службу России для включения в реестр недобросовестных участников аукциона.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В случае</w:t>
      </w:r>
      <w:r>
        <w:rPr>
          <w:sz w:val="20"/>
          <w:szCs w:val="20"/>
          <w:lang w:eastAsia="en-US"/>
        </w:rPr>
        <w:t xml:space="preserve">,</w:t>
      </w:r>
      <w:r>
        <w:rPr>
          <w:sz w:val="20"/>
          <w:szCs w:val="20"/>
          <w:lang w:eastAsia="en-US"/>
        </w:rPr>
        <w:t xml:space="preserve"> если в течение 10 (десяти) рабочих </w:t>
      </w:r>
      <w:r>
        <w:rPr>
          <w:sz w:val="20"/>
          <w:szCs w:val="20"/>
          <w:lang w:eastAsia="en-US"/>
        </w:rPr>
        <w:t xml:space="preserve">дней со дня направления Участнику, который сделал предпоследнее предложение о цене Предмета аукциона, этот Участник не представил Организатору подписанный со своей стороны указанный договор, Организатор вправе объявить о проведении повторного аукциона в эл</w:t>
      </w:r>
      <w:r>
        <w:rPr>
          <w:sz w:val="20"/>
          <w:szCs w:val="20"/>
          <w:lang w:eastAsia="en-US"/>
        </w:rPr>
        <w:t xml:space="preserve">ектронной форме или распорядиться земельным участком иным образом в соответствии с Кодексом.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  <w:lang w:eastAsia="en-US"/>
        </w:rPr>
        <w:t xml:space="preserve">13. </w:t>
      </w:r>
      <w:r>
        <w:rPr>
          <w:sz w:val="20"/>
          <w:szCs w:val="20"/>
        </w:rPr>
        <w:t xml:space="preserve">Организатор аукциона вправе отказаться от процедуры проведения аукциона в соответствии с пунктом 4 статьи 448 Гражданского кодекса Российской Федерации.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теч</w:t>
      </w:r>
      <w:r>
        <w:rPr>
          <w:sz w:val="20"/>
          <w:szCs w:val="20"/>
        </w:rPr>
        <w:t xml:space="preserve">ение 3 (трех) дней со дня принятия решения об отказе в проведен</w:t>
      </w:r>
      <w:r>
        <w:rPr>
          <w:sz w:val="20"/>
          <w:szCs w:val="20"/>
        </w:rPr>
        <w:t xml:space="preserve">ии ау</w:t>
      </w:r>
      <w:r>
        <w:rPr>
          <w:sz w:val="20"/>
          <w:szCs w:val="20"/>
        </w:rPr>
        <w:t xml:space="preserve">кциона организатор аукциона обязан известить участников аукциона об отказе в проведении аукциона и возвратить его участникам внесенные задатки.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14. Градостроительные планы земельного участ</w:t>
      </w:r>
      <w:r>
        <w:rPr>
          <w:color w:val="000000"/>
          <w:sz w:val="20"/>
          <w:szCs w:val="20"/>
        </w:rPr>
        <w:t xml:space="preserve">ка от 29.10.2025 № РФ-44-2-01-0-00-2025-0714-0,  от 29.10.2025 № РФ-44-2-01-0-00-2025-0713-0 являются приложением к настоящему извещению (приложение 3)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Ознакомиться с градостроительным планом земельного участка возможно на официальном сайте Российской Феде</w:t>
      </w:r>
      <w:r>
        <w:rPr>
          <w:color w:val="000000"/>
          <w:sz w:val="20"/>
          <w:szCs w:val="20"/>
        </w:rPr>
        <w:t xml:space="preserve">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(http://torgi.gov.ru),  на официальном сайте Администрации города Костромы (http://grad.kostroma.gov.</w:t>
      </w:r>
      <w:r>
        <w:rPr>
          <w:color w:val="000000"/>
          <w:sz w:val="20"/>
          <w:szCs w:val="20"/>
        </w:rPr>
        <w:t xml:space="preserve">ru), н</w:t>
      </w:r>
      <w:r>
        <w:rPr>
          <w:sz w:val="20"/>
          <w:szCs w:val="20"/>
          <w:highlight w:val="white"/>
        </w:rPr>
        <w:t xml:space="preserve">а электронной площадке </w:t>
      </w:r>
      <w:hyperlink r:id="rId13" w:tooltip="http://www.rts-tender.ru/" w:history="1">
        <w:r>
          <w:rPr>
            <w:rStyle w:val="766"/>
            <w:sz w:val="20"/>
            <w:szCs w:val="20"/>
            <w:highlight w:val="white"/>
          </w:rPr>
          <w:t xml:space="preserve">www.rts-tender.ru</w:t>
        </w:r>
      </w:hyperlink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</w:rPr>
        <w:t xml:space="preserve">(ООО «РТС-тендер»)</w:t>
      </w:r>
      <w:r>
        <w:br w:type="page" w:clear="all"/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sz w:val="22"/>
          <w:szCs w:val="22"/>
          <w:lang w:eastAsia="zh-CN"/>
        </w:rPr>
      </w:pPr>
      <w:r>
        <w:rPr>
          <w:b/>
          <w:lang w:eastAsia="zh-CN"/>
        </w:rPr>
        <w:t xml:space="preserve">ЗАЯВКА </w:t>
      </w:r>
      <w:r>
        <w:rPr>
          <w:b/>
          <w:sz w:val="22"/>
          <w:szCs w:val="22"/>
          <w:lang w:eastAsia="zh-CN"/>
        </w:rPr>
        <w:t xml:space="preserve">НА УЧАСТИЕ В АУКЦИОНЕ В ЭЛЕКТРОННОЙ ФОРМЕ</w:t>
      </w:r>
      <w:r>
        <w:rPr>
          <w:b/>
          <w:sz w:val="22"/>
          <w:szCs w:val="22"/>
          <w:lang w:eastAsia="zh-CN"/>
        </w:rPr>
      </w:r>
      <w:r>
        <w:rPr>
          <w:b/>
          <w:sz w:val="22"/>
          <w:szCs w:val="22"/>
          <w:lang w:eastAsia="zh-CN"/>
        </w:rPr>
      </w:r>
    </w:p>
    <w:p>
      <w:pPr>
        <w:rPr>
          <w:b/>
          <w:sz w:val="2"/>
          <w:szCs w:val="10"/>
          <w:lang w:eastAsia="zh-CN"/>
        </w:rPr>
      </w:pP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</w:p>
    <w:p>
      <w:pPr>
        <w:rPr>
          <w:b/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b/>
          <w:sz w:val="19"/>
          <w:szCs w:val="19"/>
          <w:lang w:eastAsia="zh-CN"/>
        </w:rPr>
      </w:r>
      <w:r>
        <w:rPr>
          <w:b/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Заявитель</w:t>
      </w:r>
      <w:r>
        <w:rPr>
          <w:sz w:val="19"/>
          <w:szCs w:val="19"/>
          <w:lang w:eastAsia="zh-CN"/>
        </w:rPr>
        <w:t xml:space="preserve"> </w:t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  <w:pBdr>
          <w:bottom w:val="single" w:color="000000" w:sz="4" w:space="0"/>
        </w:pBdr>
      </w:pP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jc w:val="center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           </w:t>
      </w:r>
      <w:r>
        <w:rPr>
          <w:sz w:val="16"/>
          <w:szCs w:val="18"/>
          <w:lang w:eastAsia="zh-CN"/>
        </w:rPr>
        <w:t xml:space="preserve">(</w:t>
      </w:r>
      <w:r>
        <w:rPr>
          <w:bCs/>
          <w:sz w:val="16"/>
          <w:szCs w:val="18"/>
          <w:lang w:eastAsia="zh-CN"/>
        </w:rPr>
        <w:t xml:space="preserve">Ф.И.О. гражданина</w:t>
      </w:r>
      <w:r>
        <w:rPr>
          <w:sz w:val="16"/>
          <w:szCs w:val="18"/>
          <w:lang w:eastAsia="zh-CN"/>
        </w:rPr>
        <w:t xml:space="preserve">)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410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Заявителя: серия                                                   №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</w:t>
            </w:r>
            <w:r>
              <w:rPr>
                <w:sz w:val="18"/>
                <w:szCs w:val="18"/>
                <w:lang w:eastAsia="zh-CN"/>
              </w:rPr>
              <w:t xml:space="preserve">_______________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выдан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: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ИНН             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  <w:tr>
        <w:tblPrEx/>
        <w:trPr>
          <w:trHeight w:val="117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rPr>
                <w:rFonts w:eastAsia="Calibri"/>
              </w:rPr>
              <w:pBdr>
                <w:bottom w:val="single" w:color="000000" w:sz="4" w:space="0"/>
              </w:pBdr>
            </w:pPr>
            <w:r>
              <w:rPr>
                <w:b/>
                <w:sz w:val="18"/>
                <w:szCs w:val="18"/>
                <w:lang w:eastAsia="zh-CN"/>
              </w:rPr>
              <w:t xml:space="preserve">Представитель Заявителя</w:t>
            </w:r>
            <w:r>
              <w:rPr>
                <w:b/>
                <w:sz w:val="18"/>
                <w:szCs w:val="18"/>
                <w:vertAlign w:val="superscript"/>
                <w:lang w:eastAsia="zh-CN"/>
              </w:rPr>
              <w:footnoteReference w:id="2"/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center"/>
              <w:rPr>
                <w:b/>
                <w:sz w:val="16"/>
                <w:szCs w:val="18"/>
                <w:lang w:eastAsia="zh-CN"/>
              </w:rPr>
            </w:pPr>
            <w:r>
              <w:rPr>
                <w:b/>
                <w:sz w:val="16"/>
                <w:szCs w:val="18"/>
                <w:lang w:eastAsia="zh-CN"/>
              </w:rPr>
              <w:t xml:space="preserve">(Ф.И.О</w:t>
            </w:r>
            <w:r>
              <w:rPr>
                <w:b/>
                <w:sz w:val="16"/>
                <w:szCs w:val="18"/>
                <w:lang w:eastAsia="zh-CN"/>
              </w:rPr>
              <w:t xml:space="preserve">,)</w:t>
            </w:r>
            <w:r>
              <w:rPr>
                <w:b/>
                <w:sz w:val="16"/>
                <w:szCs w:val="18"/>
                <w:lang w:eastAsia="zh-CN"/>
              </w:rPr>
            </w:r>
            <w:r>
              <w:rPr>
                <w:b/>
                <w:sz w:val="16"/>
                <w:szCs w:val="18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выдан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RepresentativePassportIssuer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RepresentativePhoneNumber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</w:tbl>
    <w:p>
      <w:pPr>
        <w:ind w:hanging="1"/>
        <w:jc w:val="both"/>
        <w:widowControl w:val="off"/>
        <w:rPr>
          <w:bCs/>
          <w:lang w:eastAsia="zh-CN"/>
        </w:rPr>
      </w:pPr>
      <w:r>
        <w:rPr>
          <w:sz w:val="18"/>
          <w:szCs w:val="18"/>
          <w:lang w:eastAsia="zh-CN"/>
        </w:rPr>
        <w:tab/>
      </w:r>
      <w:r>
        <w:rPr>
          <w:b/>
          <w:sz w:val="18"/>
          <w:szCs w:val="18"/>
          <w:lang w:eastAsia="zh-CN"/>
        </w:rPr>
        <w:t xml:space="preserve">принял решение об участии в аукционе по продаже земельного участка </w:t>
      </w:r>
      <w:r>
        <w:rPr>
          <w:b/>
          <w:sz w:val="18"/>
          <w:szCs w:val="18"/>
          <w:lang w:eastAsia="zh-CN"/>
        </w:rPr>
        <w:t xml:space="preserve">с кадастровым </w:t>
      </w:r>
      <w:r>
        <w:rPr>
          <w:b/>
          <w:sz w:val="18"/>
          <w:szCs w:val="18"/>
          <w:lang w:eastAsia="zh-CN"/>
        </w:rPr>
        <w:t xml:space="preserve">номером:_______________________________________</w:t>
      </w:r>
      <w:r>
        <w:rPr>
          <w:b/>
          <w:sz w:val="18"/>
          <w:szCs w:val="18"/>
          <w:lang w:eastAsia="zh-CN"/>
        </w:rPr>
        <w:t xml:space="preserve">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18"/>
          <w:szCs w:val="18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18"/>
          <w:szCs w:val="18"/>
          <w:lang w:eastAsia="zh-CN"/>
        </w:rPr>
        <w:t xml:space="preserve">руб.</w:t>
      </w:r>
      <w:r>
        <w:rPr>
          <w:sz w:val="18"/>
          <w:szCs w:val="18"/>
          <w:u w:val="single"/>
          <w:lang w:eastAsia="zh-CN"/>
        </w:rPr>
        <w:t xml:space="preserve">            (сумма прописью)</w:t>
      </w:r>
      <w:r>
        <w:rPr>
          <w:sz w:val="18"/>
          <w:szCs w:val="18"/>
          <w:lang w:eastAsia="zh-CN"/>
        </w:rPr>
        <w:t xml:space="preserve">, </w:t>
      </w:r>
      <w:r>
        <w:rPr>
          <w:b/>
          <w:sz w:val="18"/>
          <w:szCs w:val="18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</w:t>
      </w:r>
      <w:r>
        <w:rPr>
          <w:b/>
          <w:sz w:val="18"/>
          <w:szCs w:val="18"/>
          <w:lang w:eastAsia="zh-CN"/>
        </w:rPr>
        <w:t xml:space="preserve">щадки.</w:t>
      </w:r>
      <w:r>
        <w:rPr>
          <w:bCs/>
          <w:lang w:eastAsia="zh-CN"/>
        </w:rPr>
      </w:r>
      <w:r>
        <w:rPr>
          <w:bCs/>
          <w:lang w:eastAsia="zh-CN"/>
        </w:rPr>
      </w:r>
    </w:p>
    <w:p>
      <w:pPr>
        <w:ind w:hanging="1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Банковские реквизиты для возврата задатка:</w:t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Банк ______________________________________________________________________________________________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Расчётный счёт _______________________________ Корреспондентский счёт 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БИК_________________________________________ Лицевой счёт 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Ф. И. О. (наименование) получателя 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обязуется: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Соблюдать условия и порядок про</w:t>
      </w:r>
      <w:r>
        <w:rPr>
          <w:sz w:val="18"/>
          <w:szCs w:val="18"/>
          <w:lang w:eastAsia="zh-CN"/>
        </w:rPr>
        <w:t xml:space="preserve">ведения аукциона в электронной форме, содержащиеся в Извещении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 и Регламенте Оператора электронной площадки.</w:t>
      </w:r>
      <w:r>
        <w:rPr>
          <w:sz w:val="18"/>
          <w:szCs w:val="18"/>
          <w:vertAlign w:val="superscript"/>
          <w:lang w:eastAsia="zh-CN"/>
        </w:rPr>
        <w:footnoteReference w:id="3"/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В случае признания Победителем аукциона в электронной форме, а также в иных случаях, предусмотренных пунк</w:t>
      </w:r>
      <w:r>
        <w:rPr>
          <w:sz w:val="18"/>
          <w:szCs w:val="18"/>
          <w:lang w:eastAsia="zh-CN"/>
        </w:rPr>
        <w:t xml:space="preserve">тами 13 и 14 статьи 39.12 Земельного кодекса Российской Федерации, заключить договор с Продавцом в соответствии с порядком, сроками и требованиями, установленными Извещением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 и договором.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согласен и приним</w:t>
      </w:r>
      <w:r>
        <w:rPr>
          <w:sz w:val="18"/>
          <w:szCs w:val="18"/>
          <w:lang w:eastAsia="zh-CN"/>
        </w:rPr>
        <w:t xml:space="preserve">ает все условия, требования, положения Извещения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</w:t>
      </w:r>
      <w:r>
        <w:rPr>
          <w:sz w:val="18"/>
          <w:szCs w:val="18"/>
          <w:lang w:eastAsia="zh-CN"/>
        </w:rPr>
        <w:t xml:space="preserve">омлен с реальным состоянием Земельного участка </w:t>
      </w:r>
      <w:r>
        <w:rPr>
          <w:b/>
          <w:sz w:val="18"/>
          <w:szCs w:val="18"/>
          <w:lang w:eastAsia="zh-CN"/>
        </w:rPr>
        <w:t xml:space="preserve">и не имеет претензий к ним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От</w:t>
      </w:r>
      <w:r>
        <w:rPr>
          <w:sz w:val="18"/>
          <w:szCs w:val="18"/>
          <w:lang w:eastAsia="zh-CN"/>
        </w:rPr>
        <w:t xml:space="preserve">ветственность за достоверность представленных документов и информации несет Заявитель. 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</w:t>
      </w:r>
      <w:r>
        <w:rPr>
          <w:sz w:val="18"/>
          <w:szCs w:val="18"/>
          <w:lang w:eastAsia="zh-CN"/>
        </w:rPr>
        <w:t xml:space="preserve">ения блокирования денежных сре</w:t>
      </w:r>
      <w:r>
        <w:rPr>
          <w:sz w:val="18"/>
          <w:szCs w:val="18"/>
          <w:lang w:eastAsia="zh-CN"/>
        </w:rPr>
        <w:t xml:space="preserve">дств в к</w:t>
      </w:r>
      <w:r>
        <w:rPr>
          <w:sz w:val="18"/>
          <w:szCs w:val="18"/>
          <w:lang w:eastAsia="zh-CN"/>
        </w:rPr>
        <w:t xml:space="preserve">ачестве задатка, и они ему понятны.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</w:t>
      </w:r>
      <w:r>
        <w:rPr>
          <w:sz w:val="18"/>
          <w:szCs w:val="18"/>
          <w:lang w:eastAsia="zh-CN"/>
        </w:rPr>
        <w:t xml:space="preserve">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sz w:val="17"/>
          <w:szCs w:val="17"/>
          <w:vertAlign w:val="superscript"/>
          <w:lang w:eastAsia="zh-CN"/>
        </w:rPr>
        <w:footnoteReference w:id="4"/>
      </w:r>
      <w:r>
        <w:rPr>
          <w:sz w:val="17"/>
          <w:szCs w:val="17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осведомлен и согласен с те</w:t>
      </w:r>
      <w:r>
        <w:rPr>
          <w:sz w:val="18"/>
          <w:szCs w:val="18"/>
          <w:lang w:eastAsia="zh-CN"/>
        </w:rPr>
        <w:t xml:space="preserve">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форме, а также приос</w:t>
      </w:r>
      <w:r>
        <w:rPr>
          <w:sz w:val="18"/>
          <w:szCs w:val="18"/>
          <w:lang w:eastAsia="zh-CN"/>
        </w:rPr>
        <w:t xml:space="preserve">тановлением процедуры проведения аукциона в электронной форме. </w:t>
      </w:r>
      <w:r>
        <w:rPr>
          <w:sz w:val="18"/>
          <w:szCs w:val="18"/>
          <w:lang w:eastAsia="zh-CN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</w:t>
      </w:r>
      <w:r>
        <w:rPr>
          <w:sz w:val="18"/>
          <w:szCs w:val="18"/>
          <w:lang w:eastAsia="zh-CN"/>
        </w:rPr>
        <w:t xml:space="preserve">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  <w:lang w:eastAsia="zh-CN"/>
        </w:rPr>
        <w:t xml:space="preserve">www.</w:t>
      </w:r>
      <w:r>
        <w:rPr>
          <w:sz w:val="18"/>
          <w:szCs w:val="18"/>
          <w:lang w:eastAsia="zh-CN"/>
        </w:rPr>
        <w:t xml:space="preserve">torgi.gov</w:t>
      </w:r>
      <w:r>
        <w:rPr>
          <w:sz w:val="18"/>
          <w:szCs w:val="18"/>
          <w:lang w:eastAsia="zh-CN"/>
        </w:rPr>
        <w:t xml:space="preserve">.</w:t>
      </w:r>
      <w:r>
        <w:rPr>
          <w:color w:val="000000"/>
          <w:sz w:val="18"/>
          <w:szCs w:val="18"/>
          <w:lang w:eastAsia="zh-CN"/>
        </w:rPr>
        <w:t xml:space="preserve">ruи</w:t>
      </w:r>
      <w:r>
        <w:rPr>
          <w:color w:val="000000"/>
          <w:sz w:val="18"/>
          <w:szCs w:val="18"/>
          <w:lang w:eastAsia="zh-CN"/>
        </w:rPr>
        <w:t xml:space="preserve"> </w:t>
      </w:r>
      <w:r>
        <w:rPr>
          <w:color w:val="000000"/>
          <w:sz w:val="18"/>
          <w:szCs w:val="18"/>
          <w:lang w:eastAsia="zh-CN"/>
        </w:rPr>
        <w:t xml:space="preserve">сайте</w:t>
      </w:r>
      <w:r>
        <w:rPr>
          <w:color w:val="000000"/>
          <w:sz w:val="18"/>
          <w:szCs w:val="18"/>
          <w:lang w:eastAsia="zh-CN"/>
        </w:rPr>
        <w:t xml:space="preserve"> Оператора электронной площадки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8.В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</w:t>
      </w:r>
      <w:r>
        <w:rPr>
          <w:sz w:val="18"/>
          <w:szCs w:val="18"/>
          <w:lang w:eastAsia="zh-CN"/>
        </w:rPr>
        <w:t xml:space="preserve">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</w:t>
      </w:r>
      <w:r>
        <w:rPr>
          <w:sz w:val="18"/>
          <w:szCs w:val="18"/>
          <w:lang w:eastAsia="zh-CN"/>
        </w:rPr>
        <w:t xml:space="preserve">енение), использование, обезличивание, блокирование</w:t>
      </w:r>
      <w:r>
        <w:rPr>
          <w:sz w:val="18"/>
          <w:szCs w:val="18"/>
          <w:lang w:eastAsia="zh-CN"/>
        </w:rPr>
        <w:t xml:space="preserve">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</w:t>
      </w:r>
      <w:r>
        <w:rPr>
          <w:sz w:val="18"/>
          <w:szCs w:val="18"/>
          <w:lang w:eastAsia="zh-CN"/>
        </w:rPr>
        <w:t xml:space="preserve">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</w:t>
      </w:r>
      <w:r>
        <w:rPr>
          <w:sz w:val="18"/>
          <w:szCs w:val="18"/>
          <w:lang w:eastAsia="zh-CN"/>
        </w:rPr>
        <w:t xml:space="preserve">, права и обязанности в области защиты персональных данных ему известны.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spacing w:after="160" w:line="259" w:lineRule="auto"/>
        <w:rPr>
          <w:szCs w:val="28"/>
          <w:lang w:eastAsia="zh-CN"/>
        </w:rPr>
      </w:pPr>
      <w:r>
        <w:rPr>
          <w:szCs w:val="28"/>
          <w:lang w:eastAsia="zh-CN"/>
        </w:rPr>
      </w:r>
      <w:r>
        <w:rPr>
          <w:szCs w:val="28"/>
          <w:lang w:eastAsia="zh-CN"/>
        </w:rPr>
      </w:r>
      <w:r>
        <w:rPr>
          <w:szCs w:val="28"/>
          <w:lang w:eastAsia="zh-CN"/>
        </w:rPr>
      </w:r>
    </w:p>
    <w:p>
      <w:pPr>
        <w:spacing w:after="160" w:line="259" w:lineRule="auto"/>
        <w:rPr>
          <w:bCs/>
          <w:szCs w:val="28"/>
          <w:lang w:eastAsia="zh-CN"/>
        </w:rPr>
      </w:pPr>
      <w:r>
        <w:rPr>
          <w:szCs w:val="28"/>
          <w:lang w:eastAsia="zh-CN"/>
        </w:rPr>
        <w:t xml:space="preserve">Подписано усиленной квалифицированной электронной подписью</w:t>
      </w:r>
      <w:r>
        <w:rPr>
          <w:bCs/>
          <w:szCs w:val="28"/>
          <w:lang w:eastAsia="zh-CN"/>
        </w:rPr>
      </w:r>
      <w:r>
        <w:rPr>
          <w:bCs/>
          <w:szCs w:val="28"/>
          <w:lang w:eastAsia="zh-CN"/>
        </w:rPr>
      </w:r>
    </w:p>
    <w:tbl>
      <w:tblPr>
        <w:tblStyle w:val="936"/>
        <w:tblW w:w="5000" w:type="pct"/>
        <w:tblBorders>
          <w:insideH w:val="none" w:color="000000" w:sz="0" w:space="0"/>
          <w:insideV w:val="none" w:color="000000" w:sz="0" w:space="0"/>
        </w:tblBorders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666"/>
      </w:tblGrid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электронной подписи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Владелец: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Организация: </w:t>
            </w:r>
            <w:r>
              <w:rPr>
                <w:sz w:val="16"/>
                <w:szCs w:val="16"/>
                <w:lang w:eastAsia="zh-CN"/>
              </w:rPr>
              <w:fldChar w:fldCharType="begin"/>
            </w:r>
            <w:r>
              <w:rPr>
                <w:sz w:val="16"/>
                <w:szCs w:val="16"/>
                <w:lang w:eastAsia="zh-CN"/>
              </w:rPr>
              <w:instrText xml:space="preserve"> Документ_ЭлПодпись_Организация_Участник </w:instrText>
            </w:r>
            <w:r>
              <w:rPr>
                <w:sz w:val="16"/>
                <w:szCs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.</w:t>
            </w:r>
            <w:r>
              <w:rPr>
                <w:sz w:val="16"/>
                <w:szCs w:val="16"/>
                <w:lang w:eastAsia="zh-CN"/>
              </w:rPr>
              <w:fldChar w:fldCharType="end"/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Подписано: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сертификата</w:t>
            </w:r>
            <w:r>
              <w:rPr>
                <w:b/>
                <w:sz w:val="16"/>
                <w:szCs w:val="16"/>
                <w:lang w:eastAsia="zh-CN"/>
              </w:rPr>
            </w:r>
            <w:r>
              <w:rPr>
                <w:b/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Серийный номер: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Срок действия: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</w:tbl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bookmarkStart w:id="0" w:name="undefined"/>
      <w:r/>
      <w:bookmarkEnd w:id="0"/>
      <w:r/>
      <w:r/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ДОГОВОР № 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купли-продажи земельного участка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город Кострома                                                                               ______________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Управление имущественных и земельных отношений Администрации города Костромы, в лице ______________________________, действующего на основании ________________________, именуемый в дальнейшем «Продавец», с одной стороны, и _________________________________</w:t>
      </w:r>
      <w:r>
        <w:rPr>
          <w:color w:val="000000"/>
          <w:sz w:val="20"/>
          <w:szCs w:val="20"/>
        </w:rPr>
        <w:t xml:space="preserve">_________, в лице ________________________________________, действующего на основании _____________________, именуемый в дальнейшем «Покупатель», с другой стороны, совместно именуемые «Стороны», на основании протокола о результатах аукциона по продаже земе</w:t>
      </w:r>
      <w:r>
        <w:rPr>
          <w:color w:val="000000"/>
          <w:sz w:val="20"/>
          <w:szCs w:val="20"/>
        </w:rPr>
        <w:t xml:space="preserve">льного участка ____________, руководствуясь Земельным кодексом Российской Федерации, заключили настоящий договор о нижеследующем.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1.1. Продавец обязуется передать в собственность Покупателя земельный участок площадью _______ м</w:t>
      </w:r>
      <w:r>
        <w:rPr>
          <w:color w:val="000000"/>
          <w:sz w:val="20"/>
          <w:szCs w:val="20"/>
          <w:vertAlign w:val="superscript"/>
        </w:rPr>
        <w:t xml:space="preserve">2</w:t>
      </w:r>
      <w:r>
        <w:rPr>
          <w:color w:val="000000"/>
          <w:sz w:val="20"/>
          <w:szCs w:val="20"/>
        </w:rPr>
        <w:t xml:space="preserve"> с када</w:t>
      </w:r>
      <w:r>
        <w:rPr>
          <w:color w:val="000000"/>
          <w:sz w:val="20"/>
          <w:szCs w:val="20"/>
        </w:rPr>
        <w:t xml:space="preserve">стровым номером: ______________________, категория земель: земли населенных пунктов, разрешенное использование: __________________________, по </w:t>
      </w:r>
      <w:r>
        <w:rPr>
          <w:color w:val="000000"/>
          <w:sz w:val="20"/>
          <w:szCs w:val="20"/>
        </w:rPr>
        <w:t xml:space="preserve">адресу:___________________________________</w:t>
      </w:r>
      <w:r>
        <w:rPr>
          <w:color w:val="000000"/>
          <w:sz w:val="20"/>
          <w:szCs w:val="20"/>
        </w:rPr>
        <w:t xml:space="preserve">, а Покупатель обязуется принять земельный участок и уплатить за него о</w:t>
      </w:r>
      <w:r>
        <w:rPr>
          <w:color w:val="000000"/>
          <w:sz w:val="20"/>
          <w:szCs w:val="20"/>
        </w:rPr>
        <w:t xml:space="preserve">пределенную настоящим договором цену.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1.2. План земельного участка указан в кадастровом паспорте _____________________________, выданном филиалом ФГБУ «ФКП </w:t>
      </w:r>
      <w:r>
        <w:rPr>
          <w:color w:val="000000"/>
          <w:sz w:val="20"/>
          <w:szCs w:val="20"/>
        </w:rPr>
        <w:t xml:space="preserve">Росреестра</w:t>
      </w:r>
      <w:r>
        <w:rPr>
          <w:color w:val="000000"/>
          <w:sz w:val="20"/>
          <w:szCs w:val="20"/>
        </w:rPr>
        <w:t xml:space="preserve">»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1.3. Земельный участок обременен _________________________________.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2. Цена договора и порядок оплаты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2.1. Цена продажи земельного участка составляет ______________________ 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2.2. Покупатель единовременно в течение 10 (десяти) рабочих дней после заключения настоящего договора перечисляет сумму, указанную в пункте 2.1  настоящего договора, безналичным денежным расчетом (</w:t>
      </w:r>
      <w:r>
        <w:rPr>
          <w:sz w:val="20"/>
          <w:szCs w:val="20"/>
          <w:highlight w:val="white"/>
        </w:rPr>
        <w:t xml:space="preserve">Получатель УФК по Костромской области (Управление имуществе</w:t>
      </w:r>
      <w:r>
        <w:rPr>
          <w:sz w:val="20"/>
          <w:szCs w:val="20"/>
          <w:highlight w:val="white"/>
        </w:rPr>
        <w:t xml:space="preserve">нных и земельных отношений Администрации города Костромы); ИНН / КПП 4401006568 / 440101001; Единый казначейский счет 40102810145370000103; Казначейский счет 03100643000000014100; </w:t>
      </w:r>
      <w:r>
        <w:rPr>
          <w:sz w:val="20"/>
          <w:szCs w:val="20"/>
          <w:highlight w:val="white"/>
        </w:rPr>
        <w:t xml:space="preserve">Банк получателя ОКЦ № 1 ВОЛГО-ВЯТСКОЕ ГУ БАНКА РОССИИ//УФК по Костромской об</w:t>
      </w:r>
      <w:r>
        <w:rPr>
          <w:sz w:val="20"/>
          <w:szCs w:val="20"/>
          <w:highlight w:val="white"/>
        </w:rPr>
        <w:t xml:space="preserve">ласти, г. Кострома; БИК ТОФК 042202103; ОКТМО 34701000, КБК 96611406012040000430, назн</w:t>
      </w:r>
      <w:r>
        <w:rPr>
          <w:color w:val="000000"/>
          <w:sz w:val="20"/>
          <w:szCs w:val="20"/>
        </w:rPr>
        <w:t xml:space="preserve">ачение платежа: за земельный участок по договору купли-продажи от ___________  № ____.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Перечисленный Продавцу задаток за участие в аукционе по продаже земельного участка в</w:t>
      </w:r>
      <w:r>
        <w:rPr>
          <w:color w:val="000000"/>
          <w:sz w:val="20"/>
          <w:szCs w:val="20"/>
        </w:rPr>
        <w:t xml:space="preserve"> сумме </w:t>
      </w:r>
      <w:r>
        <w:rPr>
          <w:color w:val="000000"/>
          <w:sz w:val="20"/>
          <w:szCs w:val="20"/>
        </w:rPr>
        <w:t xml:space="preserve">_________рублей</w:t>
      </w:r>
      <w:r>
        <w:rPr>
          <w:color w:val="000000"/>
          <w:sz w:val="20"/>
          <w:szCs w:val="20"/>
        </w:rPr>
        <w:t xml:space="preserve"> зачисляется в счет платежа по настоящему договору за земельный участок.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2.3. Факт перечисления денежных средств, указанных в пункте 2.2 настоящего договора, подтверждается выпиской Управления федерального казначейства по Костромской </w:t>
      </w:r>
      <w:r>
        <w:rPr>
          <w:color w:val="000000"/>
          <w:sz w:val="20"/>
          <w:szCs w:val="20"/>
        </w:rPr>
        <w:t xml:space="preserve">области с лицевого счета Продавца о поступлении денежных сре</w:t>
      </w:r>
      <w:r>
        <w:rPr>
          <w:color w:val="000000"/>
          <w:sz w:val="20"/>
          <w:szCs w:val="20"/>
        </w:rPr>
        <w:t xml:space="preserve">дств в б</w:t>
      </w:r>
      <w:r>
        <w:rPr>
          <w:color w:val="000000"/>
          <w:sz w:val="20"/>
          <w:szCs w:val="20"/>
        </w:rPr>
        <w:t xml:space="preserve">юджет города Костромы и выпиской из лицевого счета Продавца соответственно.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2.4. Обязательство Покупателя по оплате земельного участка считается исполненным надлежащим образом в случае, ес</w:t>
      </w:r>
      <w:r>
        <w:rPr>
          <w:color w:val="000000"/>
          <w:sz w:val="20"/>
          <w:szCs w:val="20"/>
        </w:rPr>
        <w:t xml:space="preserve">ли денежные средства, указанные в пункте 2.2 настоящего договора, поступили в размере, в срок и на реквизиты, указанные в пункте 2.2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3.1. Продавец обязан передать земельный участок Покупателю не позднее чем через 5 (пять) дней после дня его полной оплаты. Передача земельного участка Продавцом и принятие его Покупателем оформляется подписываемым Сторонами актом приема-передачи. Обязатель</w:t>
      </w:r>
      <w:r>
        <w:rPr>
          <w:color w:val="000000"/>
          <w:sz w:val="20"/>
          <w:szCs w:val="20"/>
        </w:rPr>
        <w:t xml:space="preserve">ство Продавца по передаче земельного участка считается исполненным надлежащим образом с момента подписания Сторонами акта приема-передачи.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 Покупатель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3.2.1. </w:t>
      </w:r>
      <w:r>
        <w:rPr>
          <w:color w:val="000000"/>
          <w:sz w:val="20"/>
          <w:szCs w:val="20"/>
        </w:rPr>
        <w:t xml:space="preserve">оплатить стоимость земельного</w:t>
      </w:r>
      <w:r>
        <w:rPr>
          <w:color w:val="000000"/>
          <w:sz w:val="20"/>
          <w:szCs w:val="20"/>
        </w:rPr>
        <w:t xml:space="preserve"> участка в размере, сроки и в порядке, установленные наст</w:t>
      </w:r>
      <w:r>
        <w:rPr>
          <w:color w:val="000000"/>
          <w:sz w:val="20"/>
          <w:szCs w:val="20"/>
        </w:rPr>
        <w:t xml:space="preserve">оящим договором;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3.2.2. содержать земельный участок в надлежащем санитарном и техническом состоянии в соответствии с действующим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4.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4.1. Стороны несут ответственность за ненадлежащее выполнение условий настоящего </w:t>
      </w:r>
      <w:r>
        <w:rPr>
          <w:color w:val="000000"/>
          <w:sz w:val="20"/>
          <w:szCs w:val="20"/>
        </w:rPr>
        <w:t xml:space="preserve">договора в соответствии с законодательством Российской Федерации.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4.2. За нарушение срока перечисления денежных средств, указанных в пункте 2.2 настоящего договора, и/или неполное их перечисление, Покупатель уплачивает Продавцу неустойку в виде пени за каж</w:t>
      </w:r>
      <w:r>
        <w:rPr>
          <w:color w:val="000000"/>
          <w:sz w:val="20"/>
          <w:szCs w:val="20"/>
        </w:rPr>
        <w:t xml:space="preserve">дый день просрочки в размере 1/150 ставки рефинансирования Центрального Банка Российской Федерации, действующей на дату выполнения денежного обязательства. </w:t>
      </w:r>
      <w:r>
        <w:rPr>
          <w:sz w:val="20"/>
          <w:szCs w:val="20"/>
          <w:highlight w:val="white"/>
        </w:rPr>
        <w:t xml:space="preserve">Получатель УФК по Костромской области (Управление имущественных и земельных отношений Администрации </w:t>
      </w:r>
      <w:r>
        <w:rPr>
          <w:sz w:val="20"/>
          <w:szCs w:val="20"/>
          <w:highlight w:val="white"/>
        </w:rPr>
        <w:t xml:space="preserve">города Костромы); ИНН / КПП 4401006568 / 440101001; Единый казначейский счет 40102810145370000103;Казначейский счет 03100643000000014100; Банк получателя ОКЦ № 1 ВОЛГО-ВЯТСКОЕ ГУ БАНКА РОССИИ//УФК по Костромской области, </w:t>
      </w:r>
      <w:r>
        <w:rPr>
          <w:sz w:val="20"/>
          <w:szCs w:val="20"/>
          <w:highlight w:val="white"/>
        </w:rPr>
        <w:t xml:space="preserve">г</w:t>
      </w:r>
      <w:r>
        <w:rPr>
          <w:sz w:val="20"/>
          <w:szCs w:val="20"/>
          <w:highlight w:val="white"/>
        </w:rPr>
        <w:t xml:space="preserve">. Кострома; БИК ТОФК 042202103; ОК</w:t>
      </w:r>
      <w:r>
        <w:rPr>
          <w:sz w:val="20"/>
          <w:szCs w:val="20"/>
          <w:highlight w:val="white"/>
        </w:rPr>
        <w:t xml:space="preserve">ТМО 34701000; КБК 96611607090040002140</w:t>
      </w:r>
      <w:r>
        <w:rPr>
          <w:sz w:val="20"/>
          <w:szCs w:val="20"/>
        </w:rPr>
        <w:t xml:space="preserve">.</w:t>
      </w:r>
      <w:r>
        <w:rPr>
          <w:color w:val="000000"/>
          <w:sz w:val="20"/>
          <w:szCs w:val="20"/>
          <w:highlight w:val="yellow"/>
        </w:rPr>
      </w:r>
      <w:r>
        <w:rPr>
          <w:color w:val="000000"/>
          <w:sz w:val="20"/>
          <w:szCs w:val="20"/>
          <w:highlight w:val="yellow"/>
        </w:rPr>
      </w:r>
    </w:p>
    <w:p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4.3. Уплата неустойки не освобождает Покупателя от исполнения обязательств по настоящему договору.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5. Возникновение права собственности и действие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5.1. Настоящий договор признается заключенным с момента его подписания Сторонами.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5.2. Отношения между Сторонами по настоящему договору прекращаются при исполнении ими всех его условий.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5.3. Право собственности на земельный участок возникает у Покупателя </w:t>
      </w:r>
      <w:r>
        <w:rPr>
          <w:color w:val="000000"/>
          <w:sz w:val="20"/>
          <w:szCs w:val="20"/>
        </w:rPr>
        <w:t xml:space="preserve">с момента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6. Расторжение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6.1. Настоящий </w:t>
      </w:r>
      <w:r>
        <w:rPr>
          <w:color w:val="000000"/>
          <w:sz w:val="20"/>
          <w:szCs w:val="20"/>
        </w:rPr>
        <w:t xml:space="preserve">договор</w:t>
      </w:r>
      <w:r>
        <w:rPr>
          <w:color w:val="000000"/>
          <w:sz w:val="20"/>
          <w:szCs w:val="20"/>
        </w:rPr>
        <w:t xml:space="preserve"> может быть расторгнут по основаниям, установленным законодате</w:t>
      </w:r>
      <w:r>
        <w:rPr>
          <w:color w:val="000000"/>
          <w:sz w:val="20"/>
          <w:szCs w:val="20"/>
        </w:rPr>
        <w:t xml:space="preserve">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6.2. В случае расторжения настоящего договора в связи с нарушением Покупателем его условий он уплачивает Продавцу штраф в размере 50 (пятидесяти) процентов от цены продажи земельного участка, указанной в пункте 2.1 настоящего </w:t>
      </w:r>
      <w:r>
        <w:rPr>
          <w:color w:val="000000"/>
          <w:sz w:val="20"/>
          <w:szCs w:val="20"/>
        </w:rPr>
        <w:t xml:space="preserve">договора.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6.3. Расторжение настоящего договора не освобождает Покупателя от выплаты неустойки, установленной в пункте 4.2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7. Заключительные положения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7.1. До заключения настоящего договора Покупатель ознакомился с состоянием земельного участка.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7.2. Сроки, указанные в настоящем договоре, исчисляются днями. Течение срока начинается на следующий день после наступления события, которым определено его нача</w:t>
      </w:r>
      <w:r>
        <w:rPr>
          <w:color w:val="000000"/>
          <w:sz w:val="20"/>
          <w:szCs w:val="20"/>
        </w:rPr>
        <w:t xml:space="preserve">ло.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7.3. Споры, возникающие при исполнении настоящего договора, разрешаются Сторонами в порядке, установленном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7.4. Отношения Сторон, не урегулированные настоящим договором, регулируются законодательством Российской </w:t>
      </w:r>
      <w:r>
        <w:rPr>
          <w:color w:val="000000"/>
          <w:sz w:val="20"/>
          <w:szCs w:val="20"/>
        </w:rPr>
        <w:t xml:space="preserve">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7.5. Изменения и дополнения к настоящему договору считаются действительными, если совершены в письменной форме и подписаны Сторонами или их уполномоченными представителями.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spacing w:line="288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0"/>
          <w:szCs w:val="20"/>
        </w:rPr>
        <w:t xml:space="preserve">7.6. </w:t>
      </w:r>
      <w:r>
        <w:rPr>
          <w:sz w:val="20"/>
          <w:szCs w:val="20"/>
        </w:rPr>
        <w:t xml:space="preserve">Настоящий Договор </w:t>
      </w:r>
      <w:r>
        <w:rPr>
          <w:color w:val="000000"/>
          <w:sz w:val="20"/>
          <w:szCs w:val="20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8. Юридические адреса и реквизиты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Продавец: Управление имущественных и земельных отношений Администрации города Костромы, мест</w:t>
      </w:r>
      <w:r>
        <w:rPr>
          <w:color w:val="000000"/>
          <w:sz w:val="20"/>
          <w:szCs w:val="20"/>
        </w:rPr>
        <w:t xml:space="preserve">о нахождения и почтовый адрес: 156005, город Кострома, площадь Конституции, дом 2.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Покупатель: _______________________________________________________________________________ 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9. Подписи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Продавец: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Покупатель: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______________________________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____________________________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Приложение 3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2848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64545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613700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56539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92698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7554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96380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029959" cy="852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74.80pt;height:671.46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324963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33604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48132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25244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904722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7554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72864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029959" cy="852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4.80pt;height:671.46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footnotePr/>
      <w:endnotePr/>
      <w:type w:val="nextPage"/>
      <w:pgSz w:w="11906" w:h="16838" w:orient="portrait"/>
      <w:pgMar w:top="425" w:right="709" w:bottom="539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Mangal">
    <w:panose1 w:val="02040503050203030202"/>
  </w:font>
  <w:font w:name="Wingdings">
    <w:panose1 w:val="05000000000000000000"/>
  </w:font>
  <w:font w:name="a_Timer">
    <w:panose1 w:val="02000603000000000000"/>
  </w:font>
  <w:font w:name="Liberation Sans">
    <w:panose1 w:val="020B0604020202020204"/>
  </w:font>
  <w:font w:name="Segoe UI">
    <w:panose1 w:val="020B0502040204020203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jc w:val="both"/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3">
    <w:p>
      <w:pPr>
        <w:pStyle w:val="809"/>
        <w:contextualSpacing/>
        <w:jc w:val="both"/>
        <w:spacing w:line="216" w:lineRule="auto"/>
        <w:rPr>
          <w:sz w:val="18"/>
          <w:szCs w:val="18"/>
        </w:rPr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Ознакомлен</w:t>
      </w:r>
      <w:r>
        <w:rPr>
          <w:sz w:val="18"/>
          <w:szCs w:val="18"/>
        </w:rPr>
        <w:t xml:space="preserve"> с Регламентом Оператора электронной площадки при регистрации (аккредитации) на электронной площадке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809"/>
        <w:contextualSpacing/>
        <w:jc w:val="both"/>
        <w:spacing w:line="216" w:lineRule="auto"/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электронног</w:t>
      </w:r>
      <w:r>
        <w:rPr>
          <w:sz w:val="18"/>
          <w:szCs w:val="18"/>
        </w:rPr>
        <w:t xml:space="preserve">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</w:t>
      </w:r>
      <w:r>
        <w:rPr>
          <w:sz w:val="18"/>
          <w:szCs w:val="18"/>
        </w:rPr>
        <w:t xml:space="preserve">дпринимательства в Российской Федерации».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8">
    <w:name w:val="Title Char"/>
    <w:basedOn w:val="722"/>
    <w:link w:val="783"/>
    <w:uiPriority w:val="10"/>
    <w:rPr>
      <w:sz w:val="48"/>
      <w:szCs w:val="48"/>
    </w:rPr>
  </w:style>
  <w:style w:type="character" w:styleId="719">
    <w:name w:val="Subtitle Char"/>
    <w:basedOn w:val="722"/>
    <w:link w:val="784"/>
    <w:uiPriority w:val="11"/>
    <w:rPr>
      <w:sz w:val="24"/>
      <w:szCs w:val="24"/>
    </w:rPr>
  </w:style>
  <w:style w:type="character" w:styleId="720">
    <w:name w:val="Endnote Text Char"/>
    <w:link w:val="788"/>
    <w:uiPriority w:val="99"/>
    <w:rPr>
      <w:sz w:val="20"/>
    </w:rPr>
  </w:style>
  <w:style w:type="paragraph" w:styleId="721" w:default="1">
    <w:name w:val="Normal"/>
    <w:qFormat/>
    <w:rPr>
      <w:rFonts w:ascii="Times New Roman" w:hAnsi="Times New Roman" w:eastAsia="Times New Roman" w:cs="Times New Roman"/>
      <w:sz w:val="24"/>
      <w:szCs w:val="24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Heading 1 Char"/>
    <w:basedOn w:val="722"/>
    <w:link w:val="740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Heading 2 Char"/>
    <w:basedOn w:val="722"/>
    <w:link w:val="741"/>
    <w:uiPriority w:val="9"/>
    <w:rPr>
      <w:rFonts w:ascii="Arial" w:hAnsi="Arial" w:eastAsia="Arial" w:cs="Arial"/>
      <w:sz w:val="34"/>
    </w:rPr>
  </w:style>
  <w:style w:type="character" w:styleId="727" w:customStyle="1">
    <w:name w:val="Heading 3 Char"/>
    <w:basedOn w:val="722"/>
    <w:link w:val="742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Heading 4 Char"/>
    <w:basedOn w:val="722"/>
    <w:link w:val="743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Heading 5 Char"/>
    <w:basedOn w:val="722"/>
    <w:link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6 Char"/>
    <w:basedOn w:val="722"/>
    <w:link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Heading 7 Char"/>
    <w:basedOn w:val="722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Heading 8 Char"/>
    <w:basedOn w:val="722"/>
    <w:link w:val="747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Heading 9 Char"/>
    <w:basedOn w:val="722"/>
    <w:link w:val="748"/>
    <w:uiPriority w:val="9"/>
    <w:rPr>
      <w:rFonts w:ascii="Arial" w:hAnsi="Arial" w:eastAsia="Arial" w:cs="Arial"/>
      <w:i/>
      <w:iCs/>
      <w:sz w:val="21"/>
      <w:szCs w:val="21"/>
    </w:rPr>
  </w:style>
  <w:style w:type="character" w:styleId="734" w:customStyle="1">
    <w:name w:val="Название Знак"/>
    <w:basedOn w:val="722"/>
    <w:link w:val="783"/>
    <w:uiPriority w:val="10"/>
    <w:rPr>
      <w:sz w:val="48"/>
      <w:szCs w:val="48"/>
    </w:rPr>
  </w:style>
  <w:style w:type="character" w:styleId="735" w:customStyle="1">
    <w:name w:val="Подзаголовок Знак1"/>
    <w:basedOn w:val="722"/>
    <w:link w:val="784"/>
    <w:uiPriority w:val="11"/>
    <w:rPr>
      <w:sz w:val="24"/>
      <w:szCs w:val="24"/>
    </w:rPr>
  </w:style>
  <w:style w:type="character" w:styleId="736" w:customStyle="1">
    <w:name w:val="Quote Char"/>
    <w:link w:val="785"/>
    <w:uiPriority w:val="29"/>
    <w:rPr>
      <w:i/>
    </w:rPr>
  </w:style>
  <w:style w:type="character" w:styleId="737" w:customStyle="1">
    <w:name w:val="Intense Quote Char"/>
    <w:link w:val="786"/>
    <w:uiPriority w:val="30"/>
    <w:rPr>
      <w:i/>
    </w:rPr>
  </w:style>
  <w:style w:type="character" w:styleId="738" w:customStyle="1">
    <w:name w:val="Текст концевой сноски Знак1"/>
    <w:link w:val="788"/>
    <w:uiPriority w:val="99"/>
    <w:rPr>
      <w:sz w:val="20"/>
    </w:rPr>
  </w:style>
  <w:style w:type="paragraph" w:styleId="739">
    <w:name w:val="toc 2"/>
    <w:basedOn w:val="721"/>
    <w:next w:val="721"/>
    <w:uiPriority w:val="39"/>
    <w:unhideWhenUsed/>
    <w:pPr>
      <w:ind w:left="283"/>
      <w:spacing w:after="57"/>
    </w:pPr>
  </w:style>
  <w:style w:type="paragraph" w:styleId="740" w:customStyle="1">
    <w:name w:val="Heading 1"/>
    <w:basedOn w:val="721"/>
    <w:next w:val="721"/>
    <w:link w:val="81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1" w:customStyle="1">
    <w:name w:val="Heading 2"/>
    <w:basedOn w:val="721"/>
    <w:next w:val="721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2" w:customStyle="1">
    <w:name w:val="Heading 3"/>
    <w:basedOn w:val="721"/>
    <w:next w:val="721"/>
    <w:link w:val="8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3" w:customStyle="1">
    <w:name w:val="Heading 4"/>
    <w:basedOn w:val="721"/>
    <w:next w:val="721"/>
    <w:link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4" w:customStyle="1">
    <w:name w:val="Heading 5"/>
    <w:basedOn w:val="721"/>
    <w:next w:val="721"/>
    <w:link w:val="81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5" w:customStyle="1">
    <w:name w:val="Heading 6"/>
    <w:basedOn w:val="721"/>
    <w:next w:val="721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6" w:customStyle="1">
    <w:name w:val="Heading 7"/>
    <w:basedOn w:val="721"/>
    <w:next w:val="721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7" w:customStyle="1">
    <w:name w:val="Heading 8"/>
    <w:basedOn w:val="721"/>
    <w:next w:val="721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8" w:customStyle="1">
    <w:name w:val="Heading 9"/>
    <w:basedOn w:val="721"/>
    <w:next w:val="721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customStyle="1">
    <w:name w:val="Заголовок 2 Знак"/>
    <w:basedOn w:val="722"/>
    <w:link w:val="741"/>
    <w:uiPriority w:val="9"/>
    <w:qFormat/>
    <w:rPr>
      <w:rFonts w:ascii="Arial" w:hAnsi="Arial" w:eastAsia="Arial" w:cs="Arial"/>
      <w:sz w:val="34"/>
    </w:rPr>
  </w:style>
  <w:style w:type="character" w:styleId="750" w:customStyle="1">
    <w:name w:val="Заголовок 6 Знак"/>
    <w:basedOn w:val="722"/>
    <w:link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722"/>
    <w:link w:val="74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722"/>
    <w:link w:val="74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722"/>
    <w:link w:val="74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Заголовок Знак"/>
    <w:basedOn w:val="722"/>
    <w:link w:val="783"/>
    <w:uiPriority w:val="10"/>
    <w:qFormat/>
    <w:rPr>
      <w:sz w:val="48"/>
      <w:szCs w:val="48"/>
    </w:rPr>
  </w:style>
  <w:style w:type="character" w:styleId="755" w:customStyle="1">
    <w:name w:val="Подзаголовок Знак"/>
    <w:basedOn w:val="722"/>
    <w:link w:val="784"/>
    <w:uiPriority w:val="11"/>
    <w:qFormat/>
    <w:rPr>
      <w:sz w:val="24"/>
      <w:szCs w:val="24"/>
    </w:rPr>
  </w:style>
  <w:style w:type="character" w:styleId="756" w:customStyle="1">
    <w:name w:val="Цитата 2 Знак"/>
    <w:link w:val="785"/>
    <w:uiPriority w:val="29"/>
    <w:qFormat/>
    <w:rPr>
      <w:i/>
    </w:rPr>
  </w:style>
  <w:style w:type="character" w:styleId="757" w:customStyle="1">
    <w:name w:val="Выделенная цитата Знак"/>
    <w:link w:val="786"/>
    <w:uiPriority w:val="30"/>
    <w:qFormat/>
    <w:rPr>
      <w:i/>
    </w:rPr>
  </w:style>
  <w:style w:type="character" w:styleId="758" w:customStyle="1">
    <w:name w:val="Header Char"/>
    <w:basedOn w:val="722"/>
    <w:uiPriority w:val="99"/>
    <w:qFormat/>
  </w:style>
  <w:style w:type="character" w:styleId="759" w:customStyle="1">
    <w:name w:val="Footer Char"/>
    <w:basedOn w:val="722"/>
    <w:uiPriority w:val="99"/>
    <w:qFormat/>
  </w:style>
  <w:style w:type="character" w:styleId="760" w:customStyle="1">
    <w:name w:val="Caption Char"/>
    <w:link w:val="787"/>
    <w:uiPriority w:val="99"/>
    <w:qFormat/>
  </w:style>
  <w:style w:type="character" w:styleId="761" w:customStyle="1">
    <w:name w:val="Footnote Text Char"/>
    <w:uiPriority w:val="99"/>
    <w:qFormat/>
    <w:rPr>
      <w:sz w:val="18"/>
    </w:rPr>
  </w:style>
  <w:style w:type="character" w:styleId="762" w:customStyle="1">
    <w:name w:val="Текст концевой сноски Знак"/>
    <w:link w:val="788"/>
    <w:uiPriority w:val="99"/>
    <w:qFormat/>
    <w:rPr>
      <w:sz w:val="20"/>
    </w:rPr>
  </w:style>
  <w:style w:type="character" w:styleId="763" w:customStyle="1">
    <w:name w:val="Символ концевой сноски"/>
    <w:basedOn w:val="722"/>
    <w:uiPriority w:val="99"/>
    <w:semiHidden/>
    <w:unhideWhenUsed/>
    <w:qFormat/>
    <w:rPr>
      <w:vertAlign w:val="superscript"/>
    </w:rPr>
  </w:style>
  <w:style w:type="character" w:styleId="764">
    <w:name w:val="endnote reference"/>
    <w:rPr>
      <w:vertAlign w:val="superscript"/>
    </w:rPr>
  </w:style>
  <w:style w:type="character" w:styleId="765">
    <w:name w:val="FollowedHyperlink"/>
    <w:basedOn w:val="722"/>
    <w:uiPriority w:val="99"/>
    <w:unhideWhenUsed/>
    <w:qFormat/>
    <w:rPr>
      <w:color w:val="800080"/>
      <w:u w:val="single"/>
    </w:rPr>
  </w:style>
  <w:style w:type="character" w:styleId="766">
    <w:name w:val="Hyperlink"/>
    <w:basedOn w:val="722"/>
    <w:uiPriority w:val="99"/>
    <w:unhideWhenUsed/>
    <w:qFormat/>
    <w:rPr>
      <w:color w:val="0000ff"/>
      <w:u w:val="single"/>
    </w:rPr>
  </w:style>
  <w:style w:type="character" w:styleId="767">
    <w:name w:val="Strong"/>
    <w:basedOn w:val="722"/>
    <w:qFormat/>
    <w:rPr>
      <w:rFonts w:cs="Times New Roman"/>
      <w:b/>
      <w:bCs/>
    </w:rPr>
  </w:style>
  <w:style w:type="character" w:styleId="768" w:customStyle="1">
    <w:name w:val="Верхний колонтитул Знак"/>
    <w:basedOn w:val="722"/>
    <w:link w:val="80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9" w:customStyle="1">
    <w:name w:val="Нижний колонтитул Знак"/>
    <w:basedOn w:val="722"/>
    <w:link w:val="803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0" w:customStyle="1">
    <w:name w:val="10"/>
    <w:basedOn w:val="722"/>
    <w:qFormat/>
    <w:rPr>
      <w:rFonts w:ascii="Times New Roman" w:hAnsi="Times New Roman" w:cs="Times New Roman"/>
    </w:rPr>
  </w:style>
  <w:style w:type="character" w:styleId="771" w:customStyle="1">
    <w:name w:val="15"/>
    <w:basedOn w:val="722"/>
    <w:qFormat/>
    <w:rPr>
      <w:rFonts w:ascii="Times New Roman" w:hAnsi="Times New Roman" w:cs="Times New Roman"/>
      <w:color w:val="0000ff"/>
      <w:u w:val="single"/>
    </w:rPr>
  </w:style>
  <w:style w:type="character" w:styleId="772" w:customStyle="1">
    <w:name w:val="16"/>
    <w:basedOn w:val="722"/>
    <w:qFormat/>
    <w:rPr>
      <w:rFonts w:ascii="Times New Roman" w:hAnsi="Times New Roman" w:cs="Times New Roman"/>
    </w:rPr>
  </w:style>
  <w:style w:type="character" w:styleId="773" w:customStyle="1">
    <w:name w:val="rts-text"/>
    <w:basedOn w:val="722"/>
    <w:qFormat/>
  </w:style>
  <w:style w:type="character" w:styleId="774" w:customStyle="1">
    <w:name w:val="Символ сноски"/>
    <w:qFormat/>
    <w:rPr>
      <w:vertAlign w:val="superscript"/>
    </w:rPr>
  </w:style>
  <w:style w:type="character" w:styleId="775">
    <w:name w:val="footnote reference"/>
    <w:rPr>
      <w:vertAlign w:val="superscript"/>
    </w:rPr>
  </w:style>
  <w:style w:type="character" w:styleId="776" w:customStyle="1">
    <w:name w:val="Текст сноски Знак"/>
    <w:basedOn w:val="722"/>
    <w:link w:val="809"/>
    <w:qFormat/>
    <w:rPr>
      <w:rFonts w:ascii="Times New Roman" w:hAnsi="Times New Roman" w:eastAsia="Times New Roman" w:cs="Times New Roman"/>
      <w:lang w:eastAsia="zh-CN"/>
    </w:rPr>
  </w:style>
  <w:style w:type="character" w:styleId="777" w:customStyle="1">
    <w:name w:val="Текст выноски Знак"/>
    <w:basedOn w:val="722"/>
    <w:link w:val="810"/>
    <w:uiPriority w:val="99"/>
    <w:semiHidden/>
    <w:qFormat/>
    <w:rPr>
      <w:rFonts w:ascii="Segoe UI" w:hAnsi="Segoe UI" w:eastAsia="Times New Roman" w:cs="Segoe UI"/>
      <w:sz w:val="18"/>
      <w:szCs w:val="18"/>
    </w:rPr>
  </w:style>
  <w:style w:type="paragraph" w:styleId="778" w:customStyle="1">
    <w:name w:val="Заголовок"/>
    <w:basedOn w:val="721"/>
    <w:next w:val="77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79">
    <w:name w:val="Body Text"/>
    <w:basedOn w:val="721"/>
    <w:pPr>
      <w:spacing w:after="140" w:line="276" w:lineRule="auto"/>
    </w:pPr>
  </w:style>
  <w:style w:type="paragraph" w:styleId="780">
    <w:name w:val="List"/>
    <w:basedOn w:val="779"/>
    <w:rPr>
      <w:rFonts w:cs="Mangal"/>
    </w:rPr>
  </w:style>
  <w:style w:type="paragraph" w:styleId="781" w:customStyle="1">
    <w:name w:val="Caption"/>
    <w:basedOn w:val="721"/>
    <w:link w:val="760"/>
    <w:qFormat/>
    <w:pPr>
      <w:spacing w:before="120" w:after="120"/>
      <w:suppressLineNumbers/>
    </w:pPr>
    <w:rPr>
      <w:rFonts w:cs="Mangal"/>
      <w:i/>
      <w:iCs/>
    </w:rPr>
  </w:style>
  <w:style w:type="paragraph" w:styleId="782">
    <w:name w:val="index heading"/>
    <w:basedOn w:val="721"/>
    <w:qFormat/>
    <w:pPr>
      <w:suppressLineNumbers/>
    </w:pPr>
    <w:rPr>
      <w:rFonts w:cs="Mangal"/>
    </w:rPr>
  </w:style>
  <w:style w:type="paragraph" w:styleId="783">
    <w:name w:val="Title"/>
    <w:basedOn w:val="721"/>
    <w:next w:val="721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84">
    <w:name w:val="Subtitle"/>
    <w:basedOn w:val="721"/>
    <w:next w:val="721"/>
    <w:link w:val="735"/>
    <w:uiPriority w:val="11"/>
    <w:qFormat/>
    <w:pPr>
      <w:spacing w:before="200" w:after="200"/>
    </w:pPr>
  </w:style>
  <w:style w:type="paragraph" w:styleId="785">
    <w:name w:val="Quote"/>
    <w:basedOn w:val="721"/>
    <w:next w:val="721"/>
    <w:link w:val="756"/>
    <w:uiPriority w:val="29"/>
    <w:qFormat/>
    <w:pPr>
      <w:ind w:left="720" w:right="720"/>
    </w:pPr>
    <w:rPr>
      <w:i/>
    </w:rPr>
  </w:style>
  <w:style w:type="paragraph" w:styleId="786">
    <w:name w:val="Intense Quote"/>
    <w:basedOn w:val="721"/>
    <w:next w:val="721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7" w:customStyle="1">
    <w:name w:val="Caption"/>
    <w:basedOn w:val="721"/>
    <w:next w:val="721"/>
    <w:link w:val="7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88">
    <w:name w:val="endnote text"/>
    <w:basedOn w:val="721"/>
    <w:link w:val="738"/>
    <w:uiPriority w:val="99"/>
    <w:semiHidden/>
    <w:unhideWhenUsed/>
    <w:rPr>
      <w:sz w:val="20"/>
    </w:rPr>
  </w:style>
  <w:style w:type="paragraph" w:styleId="789">
    <w:name w:val="toc 1"/>
    <w:basedOn w:val="721"/>
    <w:next w:val="721"/>
    <w:uiPriority w:val="39"/>
    <w:unhideWhenUsed/>
    <w:pPr>
      <w:spacing w:after="57"/>
    </w:pPr>
  </w:style>
  <w:style w:type="paragraph" w:styleId="790">
    <w:name w:val="toc 3"/>
    <w:basedOn w:val="721"/>
    <w:next w:val="721"/>
    <w:uiPriority w:val="39"/>
    <w:unhideWhenUsed/>
    <w:pPr>
      <w:ind w:left="567"/>
      <w:spacing w:after="57"/>
    </w:pPr>
  </w:style>
  <w:style w:type="paragraph" w:styleId="791">
    <w:name w:val="toc 4"/>
    <w:basedOn w:val="721"/>
    <w:next w:val="721"/>
    <w:uiPriority w:val="39"/>
    <w:unhideWhenUsed/>
    <w:pPr>
      <w:ind w:left="850"/>
      <w:spacing w:after="57"/>
    </w:pPr>
  </w:style>
  <w:style w:type="paragraph" w:styleId="792">
    <w:name w:val="toc 5"/>
    <w:basedOn w:val="721"/>
    <w:next w:val="721"/>
    <w:uiPriority w:val="39"/>
    <w:unhideWhenUsed/>
    <w:pPr>
      <w:ind w:left="1134"/>
      <w:spacing w:after="57"/>
    </w:pPr>
  </w:style>
  <w:style w:type="paragraph" w:styleId="793">
    <w:name w:val="toc 6"/>
    <w:basedOn w:val="721"/>
    <w:next w:val="721"/>
    <w:uiPriority w:val="39"/>
    <w:unhideWhenUsed/>
    <w:pPr>
      <w:ind w:left="1417"/>
      <w:spacing w:after="57"/>
    </w:pPr>
  </w:style>
  <w:style w:type="paragraph" w:styleId="794">
    <w:name w:val="toc 7"/>
    <w:basedOn w:val="721"/>
    <w:next w:val="721"/>
    <w:uiPriority w:val="39"/>
    <w:unhideWhenUsed/>
    <w:pPr>
      <w:ind w:left="1701"/>
      <w:spacing w:after="57"/>
    </w:pPr>
  </w:style>
  <w:style w:type="paragraph" w:styleId="795">
    <w:name w:val="toc 8"/>
    <w:basedOn w:val="721"/>
    <w:next w:val="721"/>
    <w:uiPriority w:val="39"/>
    <w:unhideWhenUsed/>
    <w:pPr>
      <w:ind w:left="1984"/>
      <w:spacing w:after="57"/>
    </w:pPr>
  </w:style>
  <w:style w:type="paragraph" w:styleId="796">
    <w:name w:val="toc 9"/>
    <w:basedOn w:val="721"/>
    <w:next w:val="721"/>
    <w:uiPriority w:val="39"/>
    <w:unhideWhenUsed/>
    <w:pPr>
      <w:ind w:left="2268"/>
      <w:spacing w:after="57"/>
    </w:pPr>
  </w:style>
  <w:style w:type="paragraph" w:styleId="797" w:customStyle="1">
    <w:name w:val="Index Heading"/>
    <w:basedOn w:val="778"/>
  </w:style>
  <w:style w:type="paragraph" w:styleId="798">
    <w:name w:val="TOC Heading"/>
    <w:uiPriority w:val="39"/>
    <w:unhideWhenUsed/>
  </w:style>
  <w:style w:type="paragraph" w:styleId="799">
    <w:name w:val="table of figures"/>
    <w:basedOn w:val="721"/>
    <w:next w:val="721"/>
    <w:uiPriority w:val="99"/>
    <w:unhideWhenUsed/>
    <w:qFormat/>
  </w:style>
  <w:style w:type="paragraph" w:styleId="800">
    <w:name w:val="Body Text Indent 3"/>
    <w:basedOn w:val="721"/>
    <w:uiPriority w:val="99"/>
    <w:unhideWhenUsed/>
    <w:qFormat/>
    <w:pPr>
      <w:ind w:left="283"/>
      <w:spacing w:after="120"/>
    </w:pPr>
    <w:rPr>
      <w:sz w:val="16"/>
      <w:szCs w:val="16"/>
    </w:rPr>
  </w:style>
  <w:style w:type="paragraph" w:styleId="801" w:customStyle="1">
    <w:name w:val="Колонтитул"/>
    <w:basedOn w:val="721"/>
    <w:qFormat/>
  </w:style>
  <w:style w:type="paragraph" w:styleId="802" w:customStyle="1">
    <w:name w:val="Header"/>
    <w:basedOn w:val="721"/>
    <w:link w:val="768"/>
    <w:uiPriority w:val="99"/>
    <w:unhideWhenUsed/>
    <w:qFormat/>
  </w:style>
  <w:style w:type="paragraph" w:styleId="803" w:customStyle="1">
    <w:name w:val="Footer"/>
    <w:basedOn w:val="721"/>
    <w:link w:val="769"/>
    <w:uiPriority w:val="99"/>
    <w:unhideWhenUsed/>
    <w:qFormat/>
  </w:style>
  <w:style w:type="paragraph" w:styleId="804">
    <w:name w:val="Normal (Web)"/>
    <w:basedOn w:val="721"/>
    <w:qFormat/>
    <w:pPr>
      <w:jc w:val="both"/>
      <w:spacing w:beforeAutospacing="1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805">
    <w:name w:val="No Spacing"/>
    <w:uiPriority w:val="1"/>
    <w:qFormat/>
    <w:rPr>
      <w:rFonts w:eastAsia="Times New Roman" w:cs="Times New Roman"/>
      <w:sz w:val="22"/>
      <w:szCs w:val="22"/>
      <w:lang w:eastAsia="en-US"/>
    </w:rPr>
  </w:style>
  <w:style w:type="paragraph" w:styleId="806" w:customStyle="1">
    <w:name w:val="rezul"/>
    <w:basedOn w:val="721"/>
    <w:qFormat/>
    <w:pPr>
      <w:ind w:firstLine="283"/>
      <w:jc w:val="both"/>
      <w:widowControl w:val="off"/>
    </w:pPr>
    <w:rPr>
      <w:b/>
      <w:szCs w:val="20"/>
      <w:lang w:val="en-US"/>
    </w:rPr>
  </w:style>
  <w:style w:type="paragraph" w:styleId="807" w:customStyle="1">
    <w:name w:val="Заголов1"/>
    <w:basedOn w:val="721"/>
    <w:uiPriority w:val="99"/>
    <w:qFormat/>
    <w:pPr>
      <w:jc w:val="center"/>
      <w:widowControl w:val="off"/>
    </w:pPr>
    <w:rPr>
      <w:rFonts w:ascii="a_Timer" w:hAnsi="a_Timer" w:cs="a_Timer"/>
      <w:lang w:val="en-US"/>
    </w:rPr>
  </w:style>
  <w:style w:type="paragraph" w:styleId="808">
    <w:name w:val="List Paragraph"/>
    <w:basedOn w:val="721"/>
    <w:uiPriority w:val="99"/>
    <w:qFormat/>
    <w:pPr>
      <w:contextualSpacing/>
      <w:ind w:left="720"/>
    </w:pPr>
  </w:style>
  <w:style w:type="paragraph" w:styleId="809">
    <w:name w:val="footnote text"/>
    <w:basedOn w:val="721"/>
    <w:link w:val="776"/>
    <w:rPr>
      <w:sz w:val="20"/>
      <w:szCs w:val="20"/>
      <w:lang w:eastAsia="zh-CN"/>
    </w:rPr>
  </w:style>
  <w:style w:type="paragraph" w:styleId="810">
    <w:name w:val="Balloon Text"/>
    <w:basedOn w:val="721"/>
    <w:link w:val="777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811" w:customStyle="1">
    <w:name w:val="Table Grid Light"/>
    <w:basedOn w:val="72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 w:customStyle="1">
    <w:name w:val="Plain Table 1"/>
    <w:basedOn w:val="723"/>
    <w:link w:val="74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3" w:customStyle="1">
    <w:name w:val="Plain Table 2"/>
    <w:basedOn w:val="723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4" w:customStyle="1">
    <w:name w:val="Plain Table 3"/>
    <w:basedOn w:val="723"/>
    <w:link w:val="74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 w:customStyle="1">
    <w:name w:val="Plain Table 4"/>
    <w:basedOn w:val="723"/>
    <w:link w:val="74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Plain Table 5"/>
    <w:basedOn w:val="723"/>
    <w:link w:val="74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1 Light"/>
    <w:basedOn w:val="72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1"/>
    <w:basedOn w:val="72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2"/>
    <w:basedOn w:val="72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3"/>
    <w:basedOn w:val="72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4"/>
    <w:basedOn w:val="72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5"/>
    <w:basedOn w:val="72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6"/>
    <w:basedOn w:val="72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2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1"/>
    <w:basedOn w:val="72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5"/>
    <w:basedOn w:val="72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6"/>
    <w:basedOn w:val="72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1"/>
    <w:basedOn w:val="72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5"/>
    <w:basedOn w:val="72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6"/>
    <w:basedOn w:val="72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4"/>
    <w:basedOn w:val="72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 w:customStyle="1">
    <w:name w:val="Grid Table 4 - Accent 1"/>
    <w:basedOn w:val="723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840" w:customStyle="1">
    <w:name w:val="Grid Table 4 - Accent 2"/>
    <w:basedOn w:val="723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841" w:customStyle="1">
    <w:name w:val="Grid Table 4 - Accent 3"/>
    <w:basedOn w:val="72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842" w:customStyle="1">
    <w:name w:val="Grid Table 4 - Accent 4"/>
    <w:basedOn w:val="723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843" w:customStyle="1">
    <w:name w:val="Grid Table 4 - Accent 5"/>
    <w:basedOn w:val="723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4" w:customStyle="1">
    <w:name w:val="Grid Table 4 - Accent 6"/>
    <w:basedOn w:val="723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5" w:customStyle="1">
    <w:name w:val="Grid Table 5 Dark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- Accent 1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2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 - Accent 3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- Accent 4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5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6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3" w:customStyle="1">
    <w:name w:val="Grid Table 6 Colorful - Accent 1"/>
    <w:basedOn w:val="723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4" w:customStyle="1">
    <w:name w:val="Grid Table 6 Colorful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5" w:customStyle="1">
    <w:name w:val="Grid Table 6 Colorful - Accent 3"/>
    <w:basedOn w:val="72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6" w:customStyle="1">
    <w:name w:val="Grid Table 6 Colorful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7" w:customStyle="1">
    <w:name w:val="Grid Table 6 Colorful - Accent 5"/>
    <w:basedOn w:val="723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8" w:customStyle="1">
    <w:name w:val="Grid Table 6 Colorful - Accent 6"/>
    <w:basedOn w:val="723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9" w:customStyle="1">
    <w:name w:val="Grid Table 7 Colorful"/>
    <w:basedOn w:val="72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1"/>
    <w:basedOn w:val="723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Grid Table 7 Colorful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5"/>
    <w:basedOn w:val="723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6"/>
    <w:basedOn w:val="723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1 Light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2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3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4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5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6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2"/>
    <w:basedOn w:val="72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74" w:customStyle="1">
    <w:name w:val="List Table 2 - Accent 1"/>
    <w:basedOn w:val="72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75" w:customStyle="1">
    <w:name w:val="List Table 2 - Accent 2"/>
    <w:basedOn w:val="72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76" w:customStyle="1">
    <w:name w:val="List Table 2 - Accent 3"/>
    <w:basedOn w:val="72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77" w:customStyle="1">
    <w:name w:val="List Table 2 - Accent 4"/>
    <w:basedOn w:val="72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78" w:customStyle="1">
    <w:name w:val="List Table 2 - Accent 5"/>
    <w:basedOn w:val="72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79" w:customStyle="1">
    <w:name w:val="List Table 2 - Accent 6"/>
    <w:basedOn w:val="72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80" w:customStyle="1">
    <w:name w:val="List Table 3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1"/>
    <w:basedOn w:val="72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2"/>
    <w:basedOn w:val="72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3"/>
    <w:basedOn w:val="72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4"/>
    <w:basedOn w:val="72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5"/>
    <w:basedOn w:val="72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6"/>
    <w:basedOn w:val="72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5 Dark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5" w:customStyle="1">
    <w:name w:val="List Table 5 Dark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6" w:customStyle="1">
    <w:name w:val="List Table 5 Dark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7" w:customStyle="1">
    <w:name w:val="List Table 5 Dark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8" w:customStyle="1">
    <w:name w:val="List Table 5 Dark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9" w:customStyle="1">
    <w:name w:val="List Table 5 Dark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0" w:customStyle="1">
    <w:name w:val="List Table 5 Dark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1" w:customStyle="1">
    <w:name w:val="List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02" w:customStyle="1">
    <w:name w:val="List Table 6 Colorful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3" w:customStyle="1">
    <w:name w:val="List Table 6 Colorful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904" w:customStyle="1">
    <w:name w:val="List Table 6 Colorful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905" w:customStyle="1">
    <w:name w:val="List Table 6 Colorful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906" w:customStyle="1">
    <w:name w:val="List Table 6 Colorful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907" w:customStyle="1">
    <w:name w:val="List Table 6 Colorful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908" w:customStyle="1">
    <w:name w:val="List Table 7 Colorful"/>
    <w:basedOn w:val="72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1"/>
    <w:basedOn w:val="723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st Table 7 Colorful - Accent 2"/>
    <w:basedOn w:val="723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3"/>
    <w:basedOn w:val="72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4"/>
    <w:basedOn w:val="723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5"/>
    <w:basedOn w:val="723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6"/>
    <w:basedOn w:val="723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ned - Accent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16" w:customStyle="1">
    <w:name w:val="Lined - Accent 1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17" w:customStyle="1">
    <w:name w:val="Lined - Accent 2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18" w:customStyle="1">
    <w:name w:val="Lined - Accent 3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19" w:customStyle="1">
    <w:name w:val="Lined - Accent 4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20" w:customStyle="1">
    <w:name w:val="Lined - Accent 5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1" w:customStyle="1">
    <w:name w:val="Lined - Accent 6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2" w:customStyle="1">
    <w:name w:val="Bordered &amp; Lined - Accent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23" w:customStyle="1">
    <w:name w:val="Bordered &amp; Lined - Accent 1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24" w:customStyle="1">
    <w:name w:val="Bordered &amp; Lined - Accent 2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25" w:customStyle="1">
    <w:name w:val="Bordered &amp; Lined - Accent 3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26" w:customStyle="1">
    <w:name w:val="Bordered &amp; Lined - Accent 4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27" w:customStyle="1">
    <w:name w:val="Bordered &amp; Lined - Accent 5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8" w:customStyle="1">
    <w:name w:val="Bordered &amp; Lined - Accent 6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9" w:customStyle="1">
    <w:name w:val="Bordered"/>
    <w:basedOn w:val="723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30" w:customStyle="1">
    <w:name w:val="Bordered - Accent 1"/>
    <w:basedOn w:val="72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1" w:customStyle="1">
    <w:name w:val="Bordered - Accent 2"/>
    <w:basedOn w:val="72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932" w:customStyle="1">
    <w:name w:val="Bordered - Accent 3"/>
    <w:basedOn w:val="72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933" w:customStyle="1">
    <w:name w:val="Bordered - Accent 4"/>
    <w:basedOn w:val="72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934" w:customStyle="1">
    <w:name w:val="Bordered - Accent 5"/>
    <w:basedOn w:val="72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935" w:customStyle="1">
    <w:name w:val="Bordered - Accent 6"/>
    <w:basedOn w:val="72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table" w:styleId="936">
    <w:name w:val="Table Grid"/>
    <w:basedOn w:val="723"/>
    <w:uiPriority w:val="5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rts-tender.ru/" TargetMode="External"/><Relationship Id="rId10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/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/" TargetMode="Externa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dc:language>ru-RU</dc:language>
  <cp:lastModifiedBy>SokolovaMY</cp:lastModifiedBy>
  <cp:revision>81</cp:revision>
  <dcterms:created xsi:type="dcterms:W3CDTF">2023-10-31T06:24:00Z</dcterms:created>
  <dcterms:modified xsi:type="dcterms:W3CDTF">2026-07-16T14:01:30Z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A6359D14764B43E9BA567EF3ABEF27A6</vt:lpwstr>
  </property>
  <property fmtid="{D5CDD505-2E9C-101B-9397-08002B2CF9AE}" pid="3" name="KSOProductBuildVer">
    <vt:lpwstr>1049-11.2.0.11516</vt:lpwstr>
  </property>
</Properties>
</file>