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Утверждено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распоряжением начальника Управления имущественных и земельных отношений 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Администрации города Костромы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bCs/>
          <w:i/>
          <w:sz w:val="20"/>
          <w:szCs w:val="20"/>
          <w:highlight w:val="none"/>
        </w:rPr>
      </w:pPr>
      <w:r>
        <w:rPr>
          <w:bCs/>
          <w:i/>
          <w:sz w:val="20"/>
          <w:szCs w:val="20"/>
        </w:rPr>
        <w:t xml:space="preserve">от __________2026 года №_____</w:t>
      </w:r>
      <w:r>
        <w:rPr>
          <w:bCs/>
          <w:i/>
          <w:sz w:val="20"/>
          <w:szCs w:val="20"/>
          <w:highlight w:val="none"/>
        </w:rPr>
      </w:r>
      <w:r>
        <w:rPr>
          <w:bCs/>
          <w:i/>
          <w:sz w:val="20"/>
          <w:szCs w:val="20"/>
          <w:highlight w:val="none"/>
        </w:rPr>
      </w:r>
    </w:p>
    <w:p>
      <w:pPr>
        <w:pStyle w:val="809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ИЗВЕЩЕНИЕ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pStyle w:val="809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О проведен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ии ау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кциона по продаже земельных участков, расположенных на территории города Костромы, государственная собственность на который не разграничена 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1. Управление имущественных и земельных отношений Администрации города Костромы сообщает о </w:t>
      </w:r>
      <w:r>
        <w:rPr>
          <w:sz w:val="20"/>
          <w:szCs w:val="20"/>
          <w:highlight w:val="white"/>
        </w:rPr>
        <w:t xml:space="preserve">п</w:t>
      </w:r>
      <w:r>
        <w:rPr>
          <w:sz w:val="20"/>
          <w:szCs w:val="20"/>
          <w:highlight w:val="white"/>
        </w:rPr>
        <w:t xml:space="preserve">роведен</w:t>
      </w:r>
      <w:r>
        <w:rPr>
          <w:sz w:val="20"/>
          <w:szCs w:val="20"/>
          <w:highlight w:val="white"/>
        </w:rPr>
        <w:t xml:space="preserve">ии</w:t>
      </w:r>
      <w:r>
        <w:rPr>
          <w:b/>
          <w:bCs/>
          <w:sz w:val="20"/>
          <w:szCs w:val="20"/>
          <w:highlight w:val="white"/>
        </w:rPr>
        <w:t xml:space="preserve"> 28</w:t>
      </w:r>
      <w:r>
        <w:rPr>
          <w:b/>
          <w:bCs/>
          <w:sz w:val="20"/>
          <w:szCs w:val="20"/>
          <w:highlight w:val="white"/>
        </w:rPr>
        <w:t xml:space="preserve"> октября 2026</w:t>
      </w:r>
      <w:r>
        <w:rPr>
          <w:b/>
          <w:bCs/>
          <w:sz w:val="20"/>
          <w:szCs w:val="20"/>
          <w:highlight w:val="white"/>
        </w:rPr>
        <w:t xml:space="preserve"> года</w:t>
      </w:r>
      <w:r>
        <w:rPr>
          <w:sz w:val="20"/>
          <w:szCs w:val="20"/>
          <w:highlight w:val="white"/>
        </w:rPr>
        <w:t xml:space="preserve"> </w:t>
      </w:r>
      <w:r>
        <w:rPr>
          <w:sz w:val="20"/>
          <w:szCs w:val="20"/>
          <w:highlight w:val="white"/>
        </w:rPr>
        <w:t xml:space="preserve">аукцио</w:t>
      </w:r>
      <w:r>
        <w:rPr>
          <w:sz w:val="20"/>
          <w:szCs w:val="20"/>
          <w:highlight w:val="white"/>
        </w:rPr>
        <w:t xml:space="preserve">на по</w:t>
      </w:r>
      <w:r>
        <w:rPr>
          <w:sz w:val="20"/>
          <w:szCs w:val="20"/>
          <w:highlight w:val="white"/>
        </w:rPr>
        <w:t xml:space="preserve"> продаже земельных участков.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</w:rPr>
        <w:t xml:space="preserve">Форма торгов – электронный аукц</w:t>
      </w:r>
      <w:r>
        <w:rPr>
          <w:rFonts w:ascii="Times New Roman" w:hAnsi="Times New Roman"/>
          <w:sz w:val="20"/>
          <w:szCs w:val="20"/>
        </w:rPr>
        <w:t xml:space="preserve">ион, 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открытый по составу участников и по форме подачи предложений о цене предмета аукциона </w:t>
      </w:r>
      <w:r>
        <w:rPr>
          <w:rFonts w:ascii="Times New Roman" w:hAnsi="Times New Roman"/>
          <w:sz w:val="20"/>
          <w:szCs w:val="20"/>
        </w:rPr>
        <w:t xml:space="preserve">на электронной п</w:t>
      </w:r>
      <w:r>
        <w:rPr>
          <w:rFonts w:ascii="Times New Roman" w:hAnsi="Times New Roman"/>
          <w:sz w:val="20"/>
          <w:szCs w:val="20"/>
        </w:rPr>
        <w:t xml:space="preserve">лощадке </w:t>
      </w:r>
      <w:r>
        <w:rPr>
          <w:rFonts w:ascii="Times New Roman" w:hAnsi="Times New Roman"/>
          <w:sz w:val="20"/>
          <w:szCs w:val="20"/>
        </w:rPr>
        <w:t xml:space="preserve">Акционерного общества «Единая электронная торговая площадка» (</w:t>
      </w:r>
      <w:r>
        <w:rPr>
          <w:rFonts w:ascii="Times New Roman" w:hAnsi="Times New Roman"/>
          <w:sz w:val="20"/>
          <w:szCs w:val="20"/>
        </w:rPr>
        <w:fldChar w:fldCharType="begin"/>
      </w:r>
      <w:r>
        <w:rPr>
          <w:rFonts w:ascii="Times New Roman" w:hAnsi="Times New Roman"/>
          <w:sz w:val="20"/>
          <w:szCs w:val="20"/>
        </w:rPr>
        <w:instrText xml:space="preserve"> HYPERLINK "https://www.roseltorg.ru" </w:instrText>
      </w:r>
      <w:r>
        <w:rPr>
          <w:rFonts w:ascii="Times New Roman" w:hAnsi="Times New Roman"/>
          <w:sz w:val="20"/>
          <w:szCs w:val="20"/>
        </w:rPr>
        <w:fldChar w:fldCharType="separate"/>
      </w:r>
      <w:r>
        <w:rPr>
          <w:rFonts w:ascii="Times New Roman" w:hAnsi="Times New Roman"/>
          <w:sz w:val="20"/>
          <w:szCs w:val="20"/>
        </w:rPr>
        <w:t xml:space="preserve">https://www.roseltorg.ru</w:t>
      </w:r>
      <w:r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14:ligatures w14:val="none"/>
        </w:rPr>
      </w:pPr>
      <w:r>
        <w:rPr>
          <w:sz w:val="20"/>
          <w:szCs w:val="20"/>
          <w:highlight w:val="white"/>
        </w:rPr>
        <w:t xml:space="preserve">Участниками аукциона являютс</w:t>
      </w:r>
      <w:r>
        <w:rPr>
          <w:sz w:val="20"/>
          <w:szCs w:val="20"/>
        </w:rPr>
        <w:t xml:space="preserve">я граждане.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709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2. Основание проведения аукци</w:t>
      </w:r>
      <w:r>
        <w:rPr>
          <w:sz w:val="20"/>
          <w:szCs w:val="20"/>
        </w:rPr>
        <w:t xml:space="preserve">она – 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eastAsia="ar-SA"/>
        </w:rPr>
        <w:t xml:space="preserve">постановление Администрации города Костромы от</w:t>
      </w:r>
      <w:r>
        <w:rPr>
          <w:sz w:val="20"/>
          <w:szCs w:val="20"/>
          <w:lang w:eastAsia="ar-SA"/>
        </w:rPr>
        <w:t xml:space="preserve"> 17 июля 2020 года № 1300</w:t>
      </w:r>
      <w:r>
        <w:rPr>
          <w:sz w:val="20"/>
          <w:szCs w:val="20"/>
          <w:lang w:eastAsia="ar-SA"/>
        </w:rPr>
        <w:t xml:space="preserve"> «Об отказе в предоставлении в собственность и о проведении аукциона по продаже земельного участка, имеющего местоположение: Костромская область, город Кострома, проезд Коминтерна 3-й, в районе дома 41</w:t>
      </w:r>
      <w:r>
        <w:rPr>
          <w:sz w:val="20"/>
          <w:szCs w:val="20"/>
          <w:lang w:eastAsia="ar-SA"/>
        </w:rPr>
        <w:t xml:space="preserve">»</w:t>
      </w:r>
      <w:r>
        <w:rPr>
          <w:sz w:val="20"/>
          <w:szCs w:val="20"/>
        </w:rPr>
        <w:t xml:space="preserve">; </w:t>
      </w:r>
      <w:r>
        <w:rPr>
          <w:sz w:val="20"/>
          <w:szCs w:val="20"/>
          <w:lang w:eastAsia="ar-SA"/>
        </w:rPr>
        <w:t xml:space="preserve">постановление Администрации города Костромы от</w:t>
      </w:r>
      <w:r>
        <w:rPr>
          <w:sz w:val="20"/>
          <w:szCs w:val="20"/>
          <w:lang w:eastAsia="ar-SA"/>
        </w:rPr>
        <w:t xml:space="preserve"> 17 июля 2020 года № 1279</w:t>
      </w:r>
      <w:r>
        <w:rPr>
          <w:sz w:val="20"/>
          <w:szCs w:val="20"/>
          <w:lang w:eastAsia="ar-SA"/>
        </w:rPr>
        <w:t xml:space="preserve"> «Об отказе в предоставлении в собственность и о проведении аукциона по продаже земельного участка, имеющего местоположение: Костромская область, город Кострома,  в районе поселка Рыбное</w:t>
      </w:r>
      <w:r>
        <w:rPr>
          <w:sz w:val="20"/>
          <w:szCs w:val="20"/>
          <w:lang w:eastAsia="ar-SA"/>
        </w:rPr>
        <w:t xml:space="preserve">»</w:t>
      </w:r>
      <w:r>
        <w:rPr>
          <w:sz w:val="20"/>
          <w:szCs w:val="20"/>
          <w:lang w:eastAsia="ar-SA"/>
        </w:rPr>
        <w:t xml:space="preserve">; </w:t>
      </w:r>
      <w:r>
        <w:rPr>
          <w:sz w:val="20"/>
          <w:szCs w:val="20"/>
        </w:rPr>
        <w:t xml:space="preserve">постановление Администрации города Костромы от</w:t>
      </w:r>
      <w:r>
        <w:rPr>
          <w:sz w:val="20"/>
          <w:szCs w:val="20"/>
        </w:rPr>
        <w:t xml:space="preserve"> 17 июля 2020 года № 1289</w:t>
      </w:r>
      <w:r>
        <w:rPr>
          <w:sz w:val="20"/>
          <w:szCs w:val="20"/>
        </w:rPr>
        <w:t xml:space="preserve"> «Об отказе в предоставлении в собственность и о проведении аукциона по продаже земельного участка, имеющего местоположение</w:t>
      </w:r>
      <w:r>
        <w:rPr>
          <w:sz w:val="20"/>
          <w:szCs w:val="20"/>
        </w:rPr>
        <w:t xml:space="preserve">: Костромская область, город Кос</w:t>
      </w:r>
      <w:r>
        <w:rPr>
          <w:sz w:val="20"/>
          <w:szCs w:val="20"/>
        </w:rPr>
        <w:t xml:space="preserve">трома,</w:t>
      </w:r>
      <w:r>
        <w:rPr>
          <w:sz w:val="20"/>
          <w:szCs w:val="20"/>
        </w:rPr>
        <w:t xml:space="preserve"> в районе поселка Рыбн</w:t>
      </w:r>
      <w:r>
        <w:rPr>
          <w:sz w:val="20"/>
          <w:szCs w:val="20"/>
        </w:rPr>
        <w:t xml:space="preserve">ое»</w:t>
      </w:r>
      <w:r>
        <w:rPr>
          <w:sz w:val="20"/>
          <w:szCs w:val="20"/>
        </w:rPr>
        <w:t xml:space="preserve">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Сведения о предмете аукциона: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улица Прибрежная, земельный участок 6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1033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44:27:090214:179;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на: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</w:t>
      </w:r>
      <w:r>
        <w:rPr>
          <w:sz w:val="20"/>
          <w:szCs w:val="20"/>
        </w:rPr>
        <w:t xml:space="preserve">она застройки индивидуальными жилы</w:t>
      </w:r>
      <w:r>
        <w:rPr>
          <w:sz w:val="20"/>
          <w:szCs w:val="20"/>
        </w:rPr>
        <w:t xml:space="preserve">ми домами Ж-1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 Генеральным планом города Костромы участок расположен в зоне катастрофического затопления, в зоне подтопления и территории с глубиной залегания грунтовых вод до 2х </w:t>
      </w:r>
      <w:r>
        <w:rPr>
          <w:sz w:val="20"/>
          <w:szCs w:val="20"/>
        </w:rPr>
        <w:t xml:space="preserve">метров, а также в границах территории, расположенной в районе поселка Рыбное, в отношении которой постановлением Администрации города Костромы от 19 июня 2019 года № 1026 утвержден проект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</w:t>
      </w:r>
      <w:r>
        <w:rPr>
          <w:sz w:val="20"/>
          <w:szCs w:val="20"/>
        </w:rPr>
        <w:t xml:space="preserve">3 пояс зоны санитарной охраны водозаборов поверхностных вод правобережных водозаборных сооружений (Димитровские очистные сооружения водопровода), расположенных: г. Кострома, ул. Коминтерна, д.90, стр.2, и Левобережных водозаборных сооружений (насосно-фильт</w:t>
      </w:r>
      <w:r>
        <w:rPr>
          <w:sz w:val="20"/>
          <w:szCs w:val="20"/>
        </w:rPr>
        <w:t xml:space="preserve">ровальной станции),расположенной: г. Кострома, ул.1 Мая, 2а</w:t>
      </w:r>
      <w:r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0-6.826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14:ligatures w14:val="none"/>
        </w:rPr>
      </w:r>
      <w:r>
        <w:rPr>
          <w14:ligatures w14:val="non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параметры разрешенного строительства: максимальный процент застройки земельного участка – 25; предельная высота зданий – 10,5 м; минимальный отступ от границ земельного участка – 3 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31.10.2025</w:t>
      </w:r>
      <w:r>
        <w:rPr>
          <w:sz w:val="20"/>
          <w:szCs w:val="20"/>
          <w:highlight w:val="white"/>
        </w:rPr>
        <w:br/>
        <w:t xml:space="preserve">№ исх.02.11/7600д, от 05.11.2025 № исх.02.11/7663д; газоснабжение от ООО «Газпром газораспределение Кострома» от 01.11.2025</w:t>
      </w:r>
      <w:r>
        <w:rPr>
          <w:sz w:val="20"/>
          <w:szCs w:val="20"/>
          <w:highlight w:val="white"/>
        </w:rPr>
        <w:t xml:space="preserve"> № ИС-15/5623,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11.11.2025 № 13-01/04734; 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начальная цена земельного участка: 1 547 000</w:t>
      </w:r>
      <w:r>
        <w:rPr>
          <w:sz w:val="20"/>
          <w:szCs w:val="20"/>
        </w:rPr>
        <w:t xml:space="preserve"> (Один миллион пятьсот сорок семь тысяч</w:t>
      </w:r>
      <w:r>
        <w:rPr>
          <w:sz w:val="20"/>
          <w:szCs w:val="20"/>
        </w:rPr>
        <w:t xml:space="preserve">) рублей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шаг аукци</w:t>
      </w:r>
      <w:r>
        <w:rPr>
          <w:sz w:val="20"/>
          <w:szCs w:val="20"/>
        </w:rPr>
        <w:t xml:space="preserve">она: 46 410</w:t>
      </w:r>
      <w:r>
        <w:rPr>
          <w:sz w:val="20"/>
          <w:szCs w:val="20"/>
        </w:rPr>
        <w:t xml:space="preserve"> (Сорок шесть </w:t>
      </w:r>
      <w:r>
        <w:rPr>
          <w:sz w:val="20"/>
          <w:szCs w:val="20"/>
        </w:rPr>
        <w:t xml:space="preserve">тысяч четыреста десять)</w:t>
      </w:r>
      <w:r>
        <w:rPr>
          <w:sz w:val="20"/>
          <w:szCs w:val="20"/>
        </w:rPr>
        <w:t xml:space="preserve"> рублей;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размер задатка:386 750</w:t>
      </w:r>
      <w:r>
        <w:rPr>
          <w:sz w:val="20"/>
          <w:szCs w:val="20"/>
        </w:rPr>
        <w:t xml:space="preserve"> (Триста восемьдесят шесть тысяч семьсот пятьдесят</w:t>
      </w:r>
      <w:r>
        <w:rPr>
          <w:sz w:val="20"/>
          <w:szCs w:val="20"/>
        </w:rPr>
        <w:t xml:space="preserve">) рублей.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- 19.06.2020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улица Прибрежная, земельный участок 10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1494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44:27:090214:175;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на: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</w:t>
      </w:r>
      <w:r>
        <w:rPr>
          <w:sz w:val="20"/>
          <w:szCs w:val="20"/>
        </w:rPr>
        <w:t xml:space="preserve">она застройки индивидуальными жилы</w:t>
      </w:r>
      <w:r>
        <w:rPr>
          <w:sz w:val="20"/>
          <w:szCs w:val="20"/>
        </w:rPr>
        <w:t xml:space="preserve">ми домами Ж-1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 Генеральным планом города Костромы участок расположен в зоне катастрофического затопления, в зоне подтопления и территории с глубиной залегания грунтовых вод до 2х </w:t>
      </w:r>
      <w:r>
        <w:rPr>
          <w:sz w:val="20"/>
          <w:szCs w:val="20"/>
        </w:rPr>
        <w:t xml:space="preserve">метров, а также в границах территории, расположенной в районе поселка Рыбное, в отношении которой постановлением Администрации города Костромы от 19 июня 2019 года № 1026 утвержден проект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</w:t>
      </w:r>
      <w:r>
        <w:rPr>
          <w:sz w:val="20"/>
          <w:szCs w:val="20"/>
        </w:rPr>
        <w:t xml:space="preserve">3 пояс зоны санитарной охраны водозаборов поверхностных вод правобережных водозаборных сооружений (Димитровские очистные сооружения водопровода), расположенных: г. Кострома, ул. Коминтерна, д.90, стр.2, и Левобережных водозаборных сооружений (насосно-фильт</w:t>
      </w:r>
      <w:r>
        <w:rPr>
          <w:sz w:val="20"/>
          <w:szCs w:val="20"/>
        </w:rPr>
        <w:t xml:space="preserve">ровальной станции),расположенной: г. Кострома, ул.1 Мая, 2а</w:t>
      </w:r>
      <w:r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0-6.826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параметры разрешенного строительства: максимальный процент застройки земельного участка – 25; предельная высота зданий – 10,5 м; минимальный отступ от границ земельного участка – 3 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23.10.2025</w:t>
      </w:r>
      <w:r>
        <w:rPr>
          <w:sz w:val="20"/>
          <w:szCs w:val="20"/>
          <w:highlight w:val="white"/>
        </w:rPr>
        <w:br/>
        <w:t xml:space="preserve">№ исх.02.11/7391д, от 23.10.2025 № исх.02.11/7371д; газоснабжение от ООО «Газпром газораспределение Кострома» от 24.10.2025</w:t>
      </w:r>
      <w:r>
        <w:rPr>
          <w:sz w:val="20"/>
          <w:szCs w:val="20"/>
          <w:highlight w:val="white"/>
        </w:rPr>
        <w:t xml:space="preserve"> № ИС-15/5448,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27.10.2025 № 13-01/04520; от ПАО «ТГК-2» от 27.10.2025 № 4201/1340-2025;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начальная цена земельного участка: 2 238 000</w:t>
      </w:r>
      <w:r>
        <w:rPr>
          <w:sz w:val="20"/>
          <w:szCs w:val="20"/>
        </w:rPr>
        <w:t xml:space="preserve"> (Два миллиона двести тридцать восемь тысяч</w:t>
      </w:r>
      <w:r>
        <w:rPr>
          <w:sz w:val="20"/>
          <w:szCs w:val="20"/>
        </w:rPr>
        <w:t xml:space="preserve">) рублей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шаг аукци</w:t>
      </w:r>
      <w:r>
        <w:rPr>
          <w:sz w:val="20"/>
          <w:szCs w:val="20"/>
        </w:rPr>
        <w:t xml:space="preserve">она: 67 140</w:t>
      </w:r>
      <w:r>
        <w:rPr>
          <w:sz w:val="20"/>
          <w:szCs w:val="20"/>
        </w:rPr>
        <w:t xml:space="preserve"> (Шестьдесят семь </w:t>
      </w:r>
      <w:r>
        <w:rPr>
          <w:sz w:val="20"/>
          <w:szCs w:val="20"/>
        </w:rPr>
        <w:t xml:space="preserve">тысяч сто сорок)</w:t>
      </w:r>
      <w:r>
        <w:rPr>
          <w:sz w:val="20"/>
          <w:szCs w:val="20"/>
        </w:rPr>
        <w:t xml:space="preserve"> рублей;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размер задатка: 559 500</w:t>
      </w:r>
      <w:r>
        <w:rPr>
          <w:sz w:val="20"/>
          <w:szCs w:val="20"/>
        </w:rPr>
        <w:t xml:space="preserve"> (Пятьсот пятьдесят девять тысяч пятьсот</w:t>
      </w:r>
      <w:r>
        <w:rPr>
          <w:sz w:val="20"/>
          <w:szCs w:val="20"/>
        </w:rPr>
        <w:t xml:space="preserve">) рублей.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- 19.06.2020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3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проезд Лазурный, земельный участок 2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1274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44:27:090214:174;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на: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</w:t>
      </w:r>
      <w:r>
        <w:rPr>
          <w:sz w:val="20"/>
          <w:szCs w:val="20"/>
        </w:rPr>
        <w:t xml:space="preserve">она застройки индивидуальными жилы</w:t>
      </w:r>
      <w:r>
        <w:rPr>
          <w:sz w:val="20"/>
          <w:szCs w:val="20"/>
        </w:rPr>
        <w:t xml:space="preserve">ми домами Ж-1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ограничения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в соответствии с Генеральным планом города Костромы участок расположен в зоне катастрофического затопления, в зоне подтопления и территории с глубиной залегания грунтовых вод до 2х </w:t>
      </w:r>
      <w:r>
        <w:rPr>
          <w:sz w:val="20"/>
          <w:szCs w:val="20"/>
        </w:rPr>
        <w:t xml:space="preserve">метров, а также в границах территории, расположенной в районе поселка Рыбное, в отношении которой постановлением Администрации города Костромы от 19 июня 2019 года № 1026 утвержден проект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</w:t>
      </w:r>
      <w:r>
        <w:rPr>
          <w:sz w:val="20"/>
          <w:szCs w:val="20"/>
        </w:rPr>
        <w:t xml:space="preserve">3 пояс зоны санитарной охраны водозаборов поверхностных вод правобережных водозаборных сооружений (Димитровские очистные сооружения водопровода), расположенных: г. Кострома, ул. Коминтерна, д.90, стр.2, и Левобережных водозаборных сооружений (насосно-фильт</w:t>
      </w:r>
      <w:r>
        <w:rPr>
          <w:sz w:val="20"/>
          <w:szCs w:val="20"/>
        </w:rPr>
        <w:t xml:space="preserve">ровальной станции),расположенной: г. Кострома, ул.1 Мая, 2а</w:t>
      </w:r>
      <w:r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0-6.826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14:ligatures w14:val="none"/>
        </w:rPr>
      </w:r>
      <w:r>
        <w:rPr>
          <w14:ligatures w14:val="non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параметры разрешенного строительства: максимальный процент застройки земельного участка – 25; предельная высота зданий – 10,5 м; минимальный отступ от границ земельного участка – 3 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23.10.2025</w:t>
      </w:r>
      <w:r>
        <w:rPr>
          <w:sz w:val="20"/>
          <w:szCs w:val="20"/>
          <w:highlight w:val="white"/>
        </w:rPr>
        <w:br/>
        <w:t xml:space="preserve">№ исх.02.11/7371д, от 23.10.2025 № исх.02.11/7389д; газоснабжение от ООО «Газпром газораспределение Кострома» от 24.10.2025</w:t>
      </w:r>
      <w:r>
        <w:rPr>
          <w:sz w:val="20"/>
          <w:szCs w:val="20"/>
          <w:highlight w:val="white"/>
        </w:rPr>
        <w:t xml:space="preserve"> № ИС-15/5445, теплоснабжение от ПАО «ТГК-2» от 29.10.2025 № Исх4201/1358-2025,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27.10.2025 № 13-01/04523; 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начальная цена земельного участка: 1 908 000</w:t>
      </w:r>
      <w:r>
        <w:rPr>
          <w:sz w:val="20"/>
          <w:szCs w:val="20"/>
        </w:rPr>
        <w:t xml:space="preserve"> (Один миллион девятьсот восемь тысяч</w:t>
      </w:r>
      <w:r>
        <w:rPr>
          <w:sz w:val="20"/>
          <w:szCs w:val="20"/>
        </w:rPr>
        <w:t xml:space="preserve">) рублей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шаг аукци</w:t>
      </w:r>
      <w:r>
        <w:rPr>
          <w:sz w:val="20"/>
          <w:szCs w:val="20"/>
        </w:rPr>
        <w:t xml:space="preserve">она: 57 240</w:t>
      </w:r>
      <w:r>
        <w:rPr>
          <w:sz w:val="20"/>
          <w:szCs w:val="20"/>
        </w:rPr>
        <w:t xml:space="preserve"> (Пятьдесят семь </w:t>
      </w:r>
      <w:r>
        <w:rPr>
          <w:sz w:val="20"/>
          <w:szCs w:val="20"/>
        </w:rPr>
        <w:t xml:space="preserve">тысяч двести сорок)</w:t>
      </w:r>
      <w:r>
        <w:rPr>
          <w:sz w:val="20"/>
          <w:szCs w:val="20"/>
        </w:rPr>
        <w:t xml:space="preserve"> рублей;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размер задатка:477 000</w:t>
      </w:r>
      <w:r>
        <w:rPr>
          <w:sz w:val="20"/>
          <w:szCs w:val="20"/>
        </w:rPr>
        <w:t xml:space="preserve"> (Четыреста семьдесят семь тысяч</w:t>
      </w:r>
      <w:r>
        <w:rPr>
          <w:sz w:val="20"/>
          <w:szCs w:val="20"/>
        </w:rPr>
        <w:t xml:space="preserve">) рублей.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- 19.06.2020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23"/>
        <w:contextualSpacing w:val="0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sz w:val="20"/>
          <w:szCs w:val="20"/>
        </w:rPr>
        <w:t xml:space="preserve">4</w:t>
      </w:r>
      <w:r>
        <w:rPr>
          <w:sz w:val="20"/>
          <w:szCs w:val="20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Организатор аукцио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на – Управление имущественных и земельных отношений Администрации города Костромы; место нахождения: 156005, Костромская область, город Кострома, площадь Конституции, 2; телефон (4942) 42-68-41, 44-07-64; e-mail: uizo@gradkostroma.ru (далее – организатор).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Оператор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электронной площадки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–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АО «Единая электронная торговая площадка»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(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АО «ЕЭТП»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instrText xml:space="preserve"> HYPERLINK "https://www.roseltorg.ru" </w:instrTex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).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Юридический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адрес Оператора: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115114,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г. Москва,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ул. Кожевническая, д. 14, стр. 5, телефон: 8 (495) 276-16-26, e-mail: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instrText xml:space="preserve"> HYPERLINK "mailto:info@roseltorg.ru" </w:instrTex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info@roseltorg.ru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Оператор электронной площадки (Оператор) –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юридическое лицо, владеющее электронной площадкой, в том числе необходимыми для ее функционирования программными и техническими средствами, обеспечивающее ее функционирование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 Оператор обеспечивает выполнение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функций по подготовке, получению, анализу, обработке, предоставлению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информации, проведению процедур в электронной форме в соответствии с требованиями действующего законодательства, регулирует отношения сторон, возникающие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в этих процедурах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,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с учётом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утверждённого Оператором Регламента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  <w:highlight w:val="non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non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Для обеспечения доступа к участию в электронном аукционе заявителям необходимо пройти процедуру регистрации (аккредитации) в соответствии с Регламентом электронной площадки АО «ЕЭТП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» (далее – электронная площадка). 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Регламент электронной площадки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АО «ЕЭТП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»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доступен при последовательном переходе п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 ссылкам, начиная с главной страницы сайта электронной площадки https://www.roseltorg.ru/: Главная → Помощь → База знаний → Документы и регламенты → Регламент проведения процедур по продаже и аренде государственного и муниципального имущества (Регламент).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Регистрация на электронной площадке осуществляется без взимания платы.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Процедура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участия в торгах описана на сайте электронной площадки в сети «Интернет» при последовательном переходе по ссылкам, начиная с главной страницы сайта электронной площадки https://www.roseltorg.ru/: Главная → Помощь → База знаний → Регистрация и аккредитация.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Формирование и направление заявки на участие в электронном аукционе производится Заявителем в соответствии с Регламентом электронной площадки.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Зая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ем электронных образов документов, предусмотренных статьей 39.12 Земельного кодекса Российской Федерации.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Одновременно с заявкой на участие в электронном аукционе заявители пре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дставляют следующие документы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: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pStyle w:val="810"/>
        <w:numPr>
          <w:ilvl w:val="0"/>
          <w:numId w:val="11"/>
        </w:numPr>
        <w:ind w:left="0" w:right="0"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заявка на участие в аукционе по установленной в извещении о проведении аукциона форме с указанием банковских реквизитов счета для возврата задатка (Приложение 1);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pStyle w:val="810"/>
        <w:numPr>
          <w:ilvl w:val="0"/>
          <w:numId w:val="11"/>
        </w:numPr>
        <w:ind w:left="0" w:right="0"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копии документов, уд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остоверяющих личность заявителя (для граждан)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pStyle w:val="810"/>
        <w:numPr>
          <w:ilvl w:val="0"/>
          <w:numId w:val="11"/>
        </w:numPr>
        <w:ind w:left="0" w:right="0"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е лицо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5</w:t>
      </w:r>
      <w:r>
        <w:rPr>
          <w:sz w:val="20"/>
          <w:szCs w:val="20"/>
          <w:highlight w:val="white"/>
        </w:rPr>
        <w:t xml:space="preserve">. Для участия в аукционе заявители представляют в установленный в извещении о проведен</w:t>
      </w:r>
      <w:r>
        <w:rPr>
          <w:sz w:val="20"/>
          <w:szCs w:val="20"/>
          <w:highlight w:val="white"/>
        </w:rPr>
        <w:t xml:space="preserve">ии ау</w:t>
      </w:r>
      <w:r>
        <w:rPr>
          <w:sz w:val="20"/>
          <w:szCs w:val="20"/>
          <w:highlight w:val="white"/>
        </w:rPr>
        <w:t xml:space="preserve">кциона срок следующие документы: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 заявка </w:t>
      </w:r>
      <w:r>
        <w:rPr>
          <w:sz w:val="20"/>
          <w:szCs w:val="20"/>
          <w:highlight w:val="white"/>
        </w:rPr>
        <w:t xml:space="preserve">на участие в аукционе по установленной в извещении о проведении</w:t>
      </w:r>
      <w:r>
        <w:rPr>
          <w:sz w:val="20"/>
          <w:szCs w:val="20"/>
          <w:highlight w:val="white"/>
        </w:rPr>
        <w:t xml:space="preserve"> аукциона форме с указанием банковских реквизитов счета для возврата задатка (Приложение 1);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копии документов, удостоверяющих личность заявителя (для граждан)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-надлежащим образом за</w:t>
      </w:r>
      <w:r>
        <w:rPr>
          <w:sz w:val="20"/>
          <w:szCs w:val="20"/>
          <w:highlight w:val="white"/>
        </w:rPr>
        <w:t xml:space="preserve">веренный перевод </w:t>
      </w:r>
      <w:r>
        <w:rPr>
          <w:sz w:val="20"/>
          <w:szCs w:val="20"/>
          <w:highlight w:val="white"/>
        </w:rPr>
        <w:t xml:space="preserve"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r>
        <w:rPr>
          <w:sz w:val="20"/>
          <w:szCs w:val="20"/>
          <w:highlight w:val="white"/>
        </w:rPr>
        <w:t xml:space="preserve">, если заявителем является иностранное юридическое ли</w:t>
      </w:r>
      <w:r>
        <w:rPr>
          <w:sz w:val="20"/>
          <w:szCs w:val="20"/>
          <w:highlight w:val="white"/>
        </w:rPr>
        <w:t xml:space="preserve">цо.</w:t>
      </w:r>
      <w:r>
        <w:rPr>
          <w:sz w:val="20"/>
          <w:szCs w:val="20"/>
          <w:highlight w:val="white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Задаток для участия в электронном аукционе вносится заявителем путем зачисления денежных средств на расчетный счет оператора электронной площ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адки.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оне. Блокирование денежных средств в размере задатка оператором электронной площадки на расчетном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заяв</w:t>
      </w:r>
      <w:r>
        <w:rPr>
          <w:rFonts w:ascii="Times New Roman" w:hAnsi="Times New Roman"/>
          <w:sz w:val="20"/>
          <w:szCs w:val="20"/>
        </w:rPr>
        <w:t xml:space="preserve">ителя.</w:t>
      </w: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</w:rP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Одно лицо имеет право подать только одну заявку </w:t>
      </w:r>
      <w:r>
        <w:rPr>
          <w:rFonts w:ascii="Times New Roman" w:hAnsi="Times New Roman"/>
          <w:bCs/>
          <w:sz w:val="20"/>
          <w:szCs w:val="20"/>
        </w:rPr>
        <w:t xml:space="preserve">на один ЛОТ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.</w:t>
      </w:r>
      <w:r>
        <w:rPr>
          <w:rFonts w:ascii="Times New Roman" w:hAnsi="Times New Roman" w:eastAsia="Calibri"/>
          <w:sz w:val="20"/>
          <w:szCs w:val="20"/>
          <w:highlight w:val="none"/>
        </w:rPr>
      </w:r>
      <w:r>
        <w:rPr>
          <w:rFonts w:ascii="Times New Roman" w:hAnsi="Times New Roman" w:eastAsia="Calibri"/>
          <w:sz w:val="20"/>
          <w:szCs w:val="20"/>
          <w:highlight w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Заявка на участие в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ок в течение трех рабочих дней со дня поступления уведомления об отзыве заявки. В случае отзыва заявки за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явителем позднее дня окончания срока приема заявок задаток возвращается в порядке, установленном для участников аукциона.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Заявитель не допускается к участию в аукционе в следующих случаях: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непредставление необходимых для участия в аукционе документов или представление недостоверных сведений;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непоступление задатка на дату рассмотрения заявок на участие в аукционе;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подача зая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ьей реестре недобросовестных участников аукциона.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ата и время начала подачи зая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вок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: 8 октября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2026 года с 10 час 00 мин. по местному 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07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Дата и время окончания подачи заявок: 23 октября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2026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 года в 18 час 00 мин. по местному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723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6. 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М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е</w:t>
      </w:r>
      <w:r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сто и порядок предоставления информационного сообщения:</w:t>
      </w:r>
      <w:r>
        <w:rPr>
          <w:rFonts w:ascii="Times New Roman" w:hAnsi="Times New Roman"/>
          <w:b/>
          <w:bCs/>
          <w:sz w:val="20"/>
          <w:szCs w:val="20"/>
        </w:rPr>
      </w:r>
      <w:r>
        <w:rPr>
          <w:rFonts w:ascii="Times New Roman" w:hAnsi="Times New Roman"/>
          <w:b/>
          <w:bCs/>
          <w:sz w:val="20"/>
          <w:szCs w:val="20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begin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instrText xml:space="preserve"> HYPERLINK "https://torgi.gov.ru/index.html" </w:instrTex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separate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https://torgi.gov.ru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end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; </w:t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</w:p>
    <w:p>
      <w:pPr>
        <w:pStyle w:val="807"/>
        <w:ind w:firstLine="709"/>
        <w:jc w:val="both"/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на электронной торговой площадке АО «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Единая электронная торговая площадка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» по адресу в сети интернет 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begin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instrText xml:space="preserve"> HYPERLINK "http://www.roseltorg.ru" </w:instrTex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separate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www.roseltorg.ru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end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;</w:t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-на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официальном сайте Администрации города Костромы </w:t>
      </w:r>
      <w:r>
        <w:rPr>
          <w:rFonts w:ascii="Times New Roman" w:hAnsi="Times New Roman"/>
          <w:sz w:val="20"/>
          <w:szCs w:val="20"/>
          <w:shd w:val="clear" w:color="auto" w:fill="ffffff"/>
        </w:rPr>
      </w:r>
      <w:hyperlink r:id="rId9" w:tooltip="https://grad.kostroma.gov.ru." w:history="1">
        <w:r>
          <w:rPr>
            <w:rStyle w:val="939"/>
            <w:rFonts w:ascii="Times New Roman" w:hAnsi="Times New Roman"/>
            <w:sz w:val="20"/>
            <w:szCs w:val="20"/>
            <w:shd w:val="clear" w:color="auto" w:fill="ffffff"/>
          </w:rPr>
          <w:t xml:space="preserve">https://grad.kostroma.gov.ru</w:t>
        </w:r>
        <w:r>
          <w:rPr>
            <w:rStyle w:val="939"/>
            <w:rFonts w:ascii="Times New Roman" w:hAnsi="Times New Roman"/>
            <w:sz w:val="20"/>
            <w:szCs w:val="20"/>
            <w:shd w:val="clear" w:color="auto" w:fill="ffffff"/>
          </w:rPr>
          <w:t xml:space="preserve">.</w:t>
        </w:r>
        <w:r>
          <w:rPr>
            <w:rStyle w:val="939"/>
            <w:rFonts w:ascii="Times New Roman" w:hAnsi="Times New Roman"/>
            <w:sz w:val="20"/>
            <w:szCs w:val="20"/>
          </w:rPr>
        </w:r>
        <w:r>
          <w:rPr>
            <w:rStyle w:val="939"/>
            <w:rFonts w:ascii="Times New Roman" w:hAnsi="Times New Roman"/>
            <w:sz w:val="20"/>
            <w:szCs w:val="20"/>
            <w:highlight w:val="none"/>
          </w:rPr>
        </w:r>
      </w:hyperlink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shd w:val="clear" w:color="auto" w:fill="ffffff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Д</w:t>
      </w:r>
      <w:r>
        <w:rPr>
          <w:rFonts w:ascii="Times New Roman" w:hAnsi="Times New Roman"/>
          <w:sz w:val="20"/>
          <w:szCs w:val="20"/>
          <w:lang w:eastAsia="en-US"/>
        </w:rPr>
        <w:t xml:space="preserve">ля участия в аукционе в электронной форме</w:t>
      </w:r>
      <w:r>
        <w:rPr>
          <w:rFonts w:ascii="Times New Roman" w:hAnsi="Times New Roman"/>
          <w:sz w:val="20"/>
          <w:szCs w:val="20"/>
          <w:lang w:eastAsia="en-US"/>
        </w:rPr>
        <w:t xml:space="preserve"> установлено требование о внесении задатка.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  <w:lang w:eastAsia="en-US"/>
        </w:rPr>
      </w:pPr>
      <w:r>
        <w:rPr>
          <w:rFonts w:ascii="Times New Roman" w:hAnsi="Times New Roman"/>
          <w:sz w:val="20"/>
          <w:szCs w:val="20"/>
          <w:highlight w:val="none"/>
          <w:shd w:val="clear" w:color="auto" w:fill="ffffff"/>
        </w:rPr>
      </w:r>
      <w:r>
        <w:rPr>
          <w:rFonts w:ascii="Times New Roman" w:hAnsi="Times New Roman"/>
          <w:sz w:val="20"/>
          <w:szCs w:val="20"/>
          <w:lang w:eastAsia="en-US"/>
        </w:rPr>
        <w:t xml:space="preserve">В целях исполнения данного требования Заявитель обеспечивает наличие денежных средств на счёте Оператора электронной площадки в размере, не менее суммы задатка, установленного в настоящей аукционной документации.</w:t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За</w:t>
      </w:r>
      <w:r>
        <w:rPr>
          <w:rFonts w:ascii="Times New Roman" w:hAnsi="Times New Roman"/>
          <w:sz w:val="20"/>
          <w:szCs w:val="20"/>
          <w:lang w:eastAsia="en-US"/>
        </w:rPr>
        <w:t xml:space="preserve">числение денежных средств на счёт Оператора электронной площадки производится </w:t>
      </w:r>
      <w:r>
        <w:rPr>
          <w:rFonts w:ascii="Times New Roman" w:hAnsi="Times New Roman"/>
          <w:sz w:val="20"/>
          <w:szCs w:val="20"/>
          <w:lang w:eastAsia="en-US"/>
        </w:rPr>
        <w:t xml:space="preserve">в срок до даты рассмотрения заявок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(не позднее: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 27</w:t>
      </w:r>
      <w:r>
        <w:rPr>
          <w:rFonts w:ascii="Times New Roman" w:hAnsi="Times New Roman"/>
          <w:b/>
          <w:bCs/>
          <w:sz w:val="20"/>
          <w:szCs w:val="20"/>
          <w:highlight w:val="white"/>
          <w:shd w:val="clear" w:color="auto" w:fill="ffffff"/>
        </w:rPr>
        <w:t xml:space="preserve"> октября</w:t>
      </w:r>
      <w:r>
        <w:rPr>
          <w:rFonts w:ascii="Times New Roman" w:hAnsi="Times New Roman"/>
          <w:b/>
          <w:bCs/>
          <w:sz w:val="20"/>
          <w:szCs w:val="20"/>
          <w:highlight w:val="white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0"/>
          <w:szCs w:val="20"/>
          <w:highlight w:val="white"/>
          <w:shd w:val="clear" w:color="auto" w:fill="ffffff"/>
        </w:rPr>
        <w:t xml:space="preserve">2026</w:t>
      </w:r>
      <w:r>
        <w:rPr>
          <w:rFonts w:ascii="Times New Roman" w:hAnsi="Times New Roman"/>
          <w:b/>
          <w:sz w:val="20"/>
          <w:szCs w:val="20"/>
          <w:highlight w:val="white"/>
          <w:shd w:val="clear" w:color="auto" w:fill="ffffff"/>
        </w:rPr>
        <w:t xml:space="preserve"> года 10 час. 00 </w:t>
      </w:r>
      <w:r>
        <w:rPr>
          <w:rFonts w:ascii="Times New Roman" w:hAnsi="Times New Roman"/>
          <w:b/>
          <w:sz w:val="20"/>
          <w:szCs w:val="20"/>
          <w:highlight w:val="white"/>
          <w:shd w:val="clear" w:color="auto" w:fill="ffffff"/>
        </w:rPr>
        <w:t xml:space="preserve">мин</w:t>
      </w:r>
      <w:r>
        <w:rPr>
          <w:rFonts w:ascii="Times New Roman" w:hAnsi="Times New Roman"/>
          <w:sz w:val="20"/>
          <w:szCs w:val="20"/>
          <w:highlight w:val="white"/>
          <w:shd w:val="clear" w:color="auto" w:fill="ffffff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shd w:val="clear" w:color="auto" w:fill="ffffff"/>
        </w:rPr>
        <w:t xml:space="preserve">время московское)</w:t>
      </w:r>
      <w:r>
        <w:rPr>
          <w:rFonts w:ascii="Times New Roman" w:hAnsi="Times New Roman"/>
          <w:sz w:val="20"/>
          <w:szCs w:val="20"/>
          <w:lang w:eastAsia="en-US"/>
        </w:rPr>
        <w:t xml:space="preserve"> в соответствии с Регламентом Оператора электронной площадки, размещенными на электронной площадке по следующим реквизитам: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Получатель платежа: Акционерное общество «Единая электронная торговая площадка»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Банковские реквизиты: Филиал «Центральный» Банка ВТБ (ПАО) в городе Москва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БИК 044525411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Расчётный счёт: 40702810510050001273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Корр. счёт 3010181014525000411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ИНН 7707704692 КПП 772501001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Назначение платежа: «Внесение гарантийного обеспечения по Соглашению о внесении гарантийного обеспечения, № аналитического счета, без НДС».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  <w:lang w:eastAsia="en-US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Денежные средства, перечисленные в соответствии с Регламентом Оператора электронной площадки, размещенными на электронной площадке на счет Оператора электронной площадки, учитываются на счете заявителя, открытом у Оператора электронной площадки.</w:t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Денежные средства в размере, равном задатку, блокируются Оператором электронной площадки на счете заявителя в соответствии с Регл</w:t>
      </w:r>
      <w:r>
        <w:rPr>
          <w:rFonts w:ascii="Times New Roman" w:hAnsi="Times New Roman"/>
          <w:sz w:val="20"/>
          <w:szCs w:val="20"/>
          <w:lang w:eastAsia="en-US"/>
        </w:rPr>
        <w:t xml:space="preserve">аментом Оператора электронной площадки, размещенными на электронной площадке.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Подача заявки и блокирование задатка является заключением соглашения о задатке.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В случае если денежных средств на счете заявителя недостаточно, Оператором электронной площадки заявка не принимается.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  <w:t xml:space="preserve">Заявителю необходимо обеспечить на своем аналитическом счете</w:t>
      </w:r>
      <w:r>
        <w:rPr>
          <w:sz w:val="20"/>
          <w:szCs w:val="20"/>
          <w:highlight w:val="none"/>
        </w:rPr>
        <w:t xml:space="preserve"> наличие денежных средств в размере</w:t>
      </w:r>
      <w:r>
        <w:rPr>
          <w:sz w:val="20"/>
          <w:szCs w:val="20"/>
          <w:highlight w:val="none"/>
        </w:rPr>
        <w:t xml:space="preserve"> задатка для участия в аукционе на дату рассмотрения заявок</w:t>
      </w:r>
      <w:r>
        <w:rPr>
          <w:sz w:val="20"/>
          <w:szCs w:val="20"/>
          <w:highlight w:val="none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Прекращение блокирования денежных средств на счете Заявителя в соответствии с Регламентом Оператора электронной площадки, размещенными на электронной площадке производится Оператором электронной площадки в следующем порядке: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tabs>
          <w:tab w:val="left" w:pos="850" w:leader="none"/>
        </w:tabs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-</w:t>
      </w:r>
      <w:r>
        <w:rPr>
          <w:rFonts w:ascii="Times New Roman" w:hAnsi="Times New Roman"/>
          <w:sz w:val="20"/>
          <w:szCs w:val="20"/>
          <w:lang w:eastAsia="en-US"/>
        </w:rPr>
        <w:tab/>
        <w:t xml:space="preserve">для заявителя, отозвавшего Заявку до окончания срока приема Заявок, - в течение 3 (трех) рабочих дней со дня поступления уведомления об отзыве Заявки в соответствии с Регламентом Оператора электронной площадки, размещенными на электронной площадке;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-</w:t>
      </w:r>
      <w:r>
        <w:rPr>
          <w:rFonts w:ascii="Times New Roman" w:hAnsi="Times New Roman"/>
          <w:sz w:val="20"/>
          <w:szCs w:val="20"/>
          <w:lang w:eastAsia="en-US"/>
        </w:rPr>
        <w:tab/>
        <w:t xml:space="preserve">для заявителя, не допущенного к участи</w:t>
      </w:r>
      <w:r>
        <w:rPr>
          <w:rFonts w:ascii="Times New Roman" w:hAnsi="Times New Roman"/>
          <w:sz w:val="20"/>
          <w:szCs w:val="20"/>
          <w:lang w:eastAsia="en-US"/>
        </w:rPr>
        <w:t xml:space="preserve">ю в аукционе в электронной форме, - в течение 3 (трех)</w:t>
      </w:r>
      <w:r>
        <w:rPr>
          <w:rFonts w:ascii="Times New Roman" w:hAnsi="Times New Roman"/>
          <w:sz w:val="20"/>
          <w:szCs w:val="20"/>
          <w:lang w:eastAsia="en-US"/>
        </w:rPr>
        <w:t xml:space="preserve"> рабочих дней со дня оформления Протокола рассмотрения заявок на участие в аукционе в электр</w:t>
      </w:r>
      <w:r>
        <w:rPr>
          <w:rFonts w:ascii="Times New Roman" w:hAnsi="Times New Roman"/>
          <w:sz w:val="20"/>
          <w:szCs w:val="20"/>
          <w:lang w:eastAsia="en-US"/>
        </w:rPr>
        <w:t xml:space="preserve">онной форме в соответствии с Регламентом Оператора электронной площадки, размещенными на электронной площадке;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-</w:t>
      </w:r>
      <w:r>
        <w:rPr>
          <w:rFonts w:ascii="Times New Roman" w:hAnsi="Times New Roman"/>
          <w:sz w:val="20"/>
          <w:szCs w:val="20"/>
          <w:lang w:eastAsia="en-US"/>
        </w:rPr>
        <w:tab/>
        <w:t xml:space="preserve">для участников, участвовавших в а</w:t>
      </w:r>
      <w:r>
        <w:rPr>
          <w:rFonts w:ascii="Times New Roman" w:hAnsi="Times New Roman"/>
          <w:sz w:val="20"/>
          <w:szCs w:val="20"/>
          <w:lang w:eastAsia="en-US"/>
        </w:rPr>
        <w:t xml:space="preserve">укционе в электронной форме, но не победивших в нем, - в течение 3 (трех) рабочих дней со дня подпи</w:t>
      </w:r>
      <w:r>
        <w:rPr>
          <w:rFonts w:ascii="Times New Roman" w:hAnsi="Times New Roman"/>
          <w:sz w:val="20"/>
          <w:szCs w:val="20"/>
          <w:lang w:eastAsia="en-US"/>
        </w:rPr>
        <w:t xml:space="preserve">сания Протокола о результатах аукциона в электронной форме в соответствии с Регламентом Оператора электронной площадки, размещенными на электронной площадке, за исключением участника аукциона, который сделал предпоследнее предложение о цене предмета аукцио</w:t>
      </w:r>
      <w:r>
        <w:rPr>
          <w:rFonts w:ascii="Times New Roman" w:hAnsi="Times New Roman"/>
          <w:sz w:val="20"/>
          <w:szCs w:val="20"/>
          <w:lang w:eastAsia="en-US"/>
        </w:rPr>
        <w:t xml:space="preserve">на. </w:t>
      </w:r>
      <w:r>
        <w:rPr>
          <w:rFonts w:ascii="Times New Roman" w:hAnsi="Times New Roman"/>
          <w:sz w:val="20"/>
          <w:szCs w:val="20"/>
          <w:lang w:eastAsia="en-US"/>
        </w:rPr>
        <w:t xml:space="preserve">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r>
        <w:rPr>
          <w:rFonts w:ascii="Times New Roman" w:hAnsi="Times New Roman"/>
          <w:sz w:val="20"/>
          <w:szCs w:val="20"/>
          <w:lang w:eastAsia="en-US"/>
        </w:rPr>
        <w:t xml:space="preserve">пунктом 13</w:t>
      </w:r>
      <w:r>
        <w:rPr>
          <w:rFonts w:ascii="Times New Roman" w:hAnsi="Times New Roman"/>
          <w:sz w:val="20"/>
          <w:szCs w:val="20"/>
          <w:lang w:eastAsia="en-US"/>
        </w:rPr>
        <w:t xml:space="preserve">, </w:t>
      </w:r>
      <w:r>
        <w:rPr>
          <w:rFonts w:ascii="Times New Roman" w:hAnsi="Times New Roman"/>
          <w:sz w:val="20"/>
          <w:szCs w:val="20"/>
          <w:lang w:eastAsia="en-US"/>
        </w:rPr>
        <w:t xml:space="preserve">14</w:t>
      </w:r>
      <w:r>
        <w:rPr>
          <w:rFonts w:ascii="Times New Roman" w:hAnsi="Times New Roman"/>
          <w:sz w:val="20"/>
          <w:szCs w:val="20"/>
          <w:lang w:eastAsia="en-US"/>
        </w:rPr>
        <w:t xml:space="preserve">, </w:t>
      </w:r>
      <w:r>
        <w:rPr>
          <w:rFonts w:ascii="Times New Roman" w:hAnsi="Times New Roman"/>
          <w:sz w:val="20"/>
          <w:szCs w:val="20"/>
          <w:lang w:eastAsia="en-US"/>
        </w:rPr>
        <w:t xml:space="preserve">20</w:t>
      </w:r>
      <w:r>
        <w:rPr>
          <w:rFonts w:ascii="Times New Roman" w:hAnsi="Times New Roman"/>
          <w:sz w:val="20"/>
          <w:szCs w:val="20"/>
          <w:lang w:eastAsia="en-US"/>
        </w:rPr>
        <w:t xml:space="preserve"> или </w:t>
      </w:r>
      <w:r>
        <w:rPr>
          <w:rFonts w:ascii="Times New Roman" w:hAnsi="Times New Roman"/>
          <w:sz w:val="20"/>
          <w:szCs w:val="20"/>
          <w:lang w:eastAsia="en-US"/>
        </w:rPr>
        <w:t xml:space="preserve">25</w:t>
      </w:r>
      <w:r>
        <w:rPr>
          <w:rFonts w:ascii="Times New Roman" w:hAnsi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Земельного кодекса Российской Федерации (далее – Кодекс)</w:t>
      </w:r>
      <w:r>
        <w:rPr>
          <w:rFonts w:ascii="Times New Roman" w:hAnsi="Times New Roman"/>
          <w:sz w:val="20"/>
          <w:szCs w:val="20"/>
          <w:lang w:eastAsia="en-US"/>
        </w:rPr>
        <w:t xml:space="preserve">, засчитываются в оплату приобретаемого земельного участка.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Задатки, внесенные этими лицами, не заключившими в установленном настоящей статьей порядке договора аренды земельного </w:t>
      </w:r>
      <w:r>
        <w:rPr>
          <w:rFonts w:ascii="Times New Roman" w:hAnsi="Times New Roman"/>
          <w:sz w:val="20"/>
          <w:szCs w:val="20"/>
          <w:lang w:eastAsia="en-US"/>
        </w:rPr>
        <w:t xml:space="preserve">участка вследствие уклонения от заключения указанных договоров, не возвращаются</w:t>
      </w:r>
      <w:r>
        <w:rPr>
          <w:rFonts w:ascii="Times New Roman" w:hAnsi="Times New Roman"/>
          <w:sz w:val="20"/>
          <w:szCs w:val="20"/>
          <w:lang w:eastAsia="en-US"/>
        </w:rPr>
        <w:t xml:space="preserve">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pStyle w:val="723"/>
        <w:ind w:firstLine="709"/>
        <w:jc w:val="both"/>
        <w:rPr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</w:rPr>
        <w:t xml:space="preserve">7. Осмотр земельного участка осуществляется претендентами самостоятельно по месту нахождения участка.</w:t>
      </w: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pStyle w:val="723"/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8.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М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есто, дата, время и порядок определения участников аукциона: 27 октября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 2026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 года в 10 час. 00 мин.</w:t>
      </w:r>
      <w:r>
        <w:rPr>
          <w:rFonts w:ascii="Times New Roman" w:hAnsi="Times New Roman"/>
          <w:sz w:val="20"/>
          <w:szCs w:val="20"/>
          <w:highlight w:val="white"/>
        </w:rPr>
        <w:t xml:space="preserve"> на электронной площадке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www.roseltorg.ru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Организатор рассматривает заявки и документы заявителей (претендентов) и устанавливает факт поступления на счёт установленных сумм задатков.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Определение уча</w:t>
      </w:r>
      <w:r>
        <w:rPr>
          <w:sz w:val="20"/>
          <w:szCs w:val="20"/>
        </w:rPr>
        <w:t xml:space="preserve">стников аукциона проводится без участия заявителей (претендентов).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результатам рассмотрения заявок и документов организатор принимает решение о признании заявителей участниками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Заявитель, допущенный к участию в аукционе, приобретает статус уч</w:t>
      </w:r>
      <w:r>
        <w:rPr>
          <w:sz w:val="20"/>
          <w:szCs w:val="20"/>
        </w:rPr>
        <w:t xml:space="preserve">астника аукциона с момента оформления организатором протокола рассмотрения заявок на участ</w:t>
      </w:r>
      <w:r>
        <w:rPr>
          <w:sz w:val="20"/>
          <w:szCs w:val="20"/>
        </w:rPr>
        <w:t xml:space="preserve">ие в аукционе.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9</w:t>
      </w:r>
      <w:r>
        <w:rPr>
          <w:rFonts w:ascii="Times New Roman" w:hAnsi="Times New Roman"/>
          <w:sz w:val="20"/>
          <w:szCs w:val="20"/>
          <w:highlight w:val="white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Дата, место, время и порядок проведения аукциона: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28 октября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2026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года в 10 час. 00 мин. </w:t>
      </w:r>
      <w:r>
        <w:rPr>
          <w:rFonts w:ascii="Times New Roman" w:hAnsi="Times New Roman"/>
          <w:sz w:val="20"/>
          <w:szCs w:val="20"/>
          <w:highlight w:val="white"/>
        </w:rPr>
        <w:t xml:space="preserve">на электронной</w:t>
      </w:r>
      <w:r>
        <w:rPr>
          <w:rFonts w:ascii="Times New Roman" w:hAnsi="Times New Roman"/>
          <w:sz w:val="20"/>
          <w:szCs w:val="20"/>
          <w:highlight w:val="white"/>
        </w:rPr>
        <w:t xml:space="preserve"> площадке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www.roseltorg.ru</w:t>
      </w:r>
      <w:r>
        <w:rPr>
          <w:rFonts w:ascii="Times New Roman" w:hAnsi="Times New Roman"/>
          <w:sz w:val="20"/>
          <w:szCs w:val="20"/>
          <w:highlight w:val="white"/>
        </w:rPr>
        <w:t xml:space="preserve"> в соо</w:t>
      </w:r>
      <w:r>
        <w:rPr>
          <w:rFonts w:ascii="Times New Roman" w:hAnsi="Times New Roman"/>
          <w:sz w:val="20"/>
          <w:szCs w:val="20"/>
        </w:rPr>
        <w:t xml:space="preserve">тветствии с регламентом 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Победителем признается участник, предложивший в ходе аукциона наибольшую</w:t>
      </w:r>
      <w:r>
        <w:rPr>
          <w:sz w:val="20"/>
          <w:szCs w:val="20"/>
        </w:rPr>
        <w:t xml:space="preserve">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11. </w:t>
      </w:r>
      <w:r>
        <w:rPr>
          <w:color w:val="000000"/>
          <w:sz w:val="20"/>
          <w:szCs w:val="20"/>
        </w:rPr>
        <w:t xml:space="preserve">П</w:t>
      </w:r>
      <w:r>
        <w:rPr>
          <w:color w:val="000000"/>
          <w:sz w:val="20"/>
          <w:szCs w:val="20"/>
        </w:rPr>
        <w:t xml:space="preserve">о результатам проведения электронного аукциона договор купли - продажи земельного участка, находящегося в государственной или муниципальной собственности, заключается в электронной форме и подписывается усиленной квалифицированной электронной подписью стор</w:t>
      </w:r>
      <w:r>
        <w:rPr>
          <w:color w:val="000000"/>
          <w:sz w:val="20"/>
          <w:szCs w:val="20"/>
        </w:rPr>
        <w:t xml:space="preserve">он такого договора.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Не допускается заключение договора </w:t>
      </w:r>
      <w:r>
        <w:rPr>
          <w:sz w:val="20"/>
          <w:szCs w:val="20"/>
        </w:rPr>
        <w:t xml:space="preserve">ранее</w:t>
      </w:r>
      <w:r>
        <w:rPr>
          <w:sz w:val="20"/>
          <w:szCs w:val="20"/>
        </w:rPr>
        <w:t xml:space="preserve"> чем через 10 (десять) дней со дня размещения информации о результатах аукциона на официальном сайте, в том числе договоров, указанных в пунктах 13 и 14 Кодекса.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В случае</w:t>
      </w:r>
      <w:r>
        <w:rPr>
          <w:color w:val="000000"/>
          <w:sz w:val="20"/>
          <w:szCs w:val="20"/>
        </w:rPr>
        <w:t xml:space="preserve">,</w:t>
      </w:r>
      <w:r>
        <w:rPr>
          <w:color w:val="000000"/>
          <w:sz w:val="20"/>
          <w:szCs w:val="20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не поступило ни одного предложения о цене предмета аукциона, которое предусматривало бы более высокую цену предмета </w:t>
      </w:r>
      <w:r>
        <w:rPr>
          <w:color w:val="000000"/>
          <w:sz w:val="20"/>
          <w:szCs w:val="20"/>
        </w:rPr>
        <w:t xml:space="preserve">аукциона, аукцион признается несостоявшимся.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Если единственная заявка на участие в аукционе соответствует указанным в извещении о проведен</w:t>
      </w:r>
      <w:r>
        <w:rPr>
          <w:color w:val="000000"/>
          <w:sz w:val="20"/>
          <w:szCs w:val="20"/>
        </w:rPr>
        <w:t xml:space="preserve">ии ау</w:t>
      </w:r>
      <w:r>
        <w:rPr>
          <w:color w:val="000000"/>
          <w:sz w:val="20"/>
          <w:szCs w:val="20"/>
        </w:rPr>
        <w:t xml:space="preserve">кциона условиям и лицо, подавшее указанную заявку, соответствуют требованиям к участникам аукциона, указанным в и</w:t>
      </w:r>
      <w:r>
        <w:rPr>
          <w:color w:val="000000"/>
          <w:sz w:val="20"/>
          <w:szCs w:val="20"/>
        </w:rPr>
        <w:t xml:space="preserve">звещении о проведении аукциона, Организатор заключает с таким лицом договор купли – продажи земельного участка по начальной цене предмета.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Организатор направляет победителю аукциона или единственному принявшему участие в аукционе его участнику  подписанный</w:t>
      </w:r>
      <w:r>
        <w:rPr>
          <w:sz w:val="20"/>
          <w:szCs w:val="20"/>
        </w:rPr>
        <w:t xml:space="preserve"> проекта договора купли - продажи земельного участка в пятидневный срок со дня истечения 10 (десяти) дней после размещения информации о результатах аукциона на официальном сайте.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При этом договор купли - продажи земельного участка заключается по цене, пред</w:t>
      </w:r>
      <w:r>
        <w:rPr>
          <w:sz w:val="20"/>
          <w:szCs w:val="20"/>
        </w:rPr>
        <w:t xml:space="preserve">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Победитель аукциона в электронной форме или иное лицо, с которым заключается договор</w:t>
      </w:r>
      <w:r>
        <w:rPr>
          <w:sz w:val="20"/>
          <w:szCs w:val="20"/>
          <w:lang w:eastAsia="en-US"/>
        </w:rPr>
        <w:t xml:space="preserve"> купли – продажи земельного участка в соответствии с Кодексом, обязаны подписать договор в течение 10 (десяти) рабочих дней со дня направления им такого договора.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Если договор купли - продажи земельного участка в течение 10 (десяти) рабочих дней со дня нап</w:t>
      </w:r>
      <w:r>
        <w:rPr>
          <w:sz w:val="20"/>
          <w:szCs w:val="20"/>
          <w:lang w:eastAsia="en-US"/>
        </w:rPr>
        <w:t xml:space="preserve">равления победителю аукциона проекта указанного договора не был им подписан и представлен Организатору, Организатор направляет указанный договор участнику аукциона, который сделал предпоследнее предложение о цене предмета аукциона, для их заключения по цен</w:t>
      </w:r>
      <w:r>
        <w:rPr>
          <w:sz w:val="20"/>
          <w:szCs w:val="20"/>
          <w:lang w:eastAsia="en-US"/>
        </w:rPr>
        <w:t xml:space="preserve">е, предложенной таким участником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Сведения о победителях аукциона, уклонившихся от заключения договора купли - продажи земельного участка, являющегося предметом аукциона, и об иных лицах, с которыми указанный договор заключается в соответствии с п</w:t>
      </w:r>
      <w:r>
        <w:rPr>
          <w:sz w:val="20"/>
          <w:szCs w:val="20"/>
          <w:lang w:eastAsia="en-US"/>
        </w:rPr>
        <w:t xml:space="preserve">унктом 13, 20 или 25 статьи 39.12 Кодекса и которые уклонились от их заключения, Организатор направляет сведения в Федеральную антимонопольную службу России для включения в реестр недобросовестных участников аукциона.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В случае</w:t>
      </w:r>
      <w:r>
        <w:rPr>
          <w:sz w:val="20"/>
          <w:szCs w:val="20"/>
          <w:lang w:eastAsia="en-US"/>
        </w:rPr>
        <w:t xml:space="preserve">,</w:t>
      </w:r>
      <w:r>
        <w:rPr>
          <w:sz w:val="20"/>
          <w:szCs w:val="20"/>
          <w:lang w:eastAsia="en-US"/>
        </w:rPr>
        <w:t xml:space="preserve"> если в течение 10 (десяти) рабочих </w:t>
      </w:r>
      <w:r>
        <w:rPr>
          <w:sz w:val="20"/>
          <w:szCs w:val="20"/>
          <w:lang w:eastAsia="en-US"/>
        </w:rPr>
        <w:t xml:space="preserve">дней со дня направления Участнику, который сделал предпоследнее предложение о цене Предмета аукциона, этот Участник не представил Организатору подписанный со своей стороны указанный договор, Организатор вправе объявить о проведении повторного аукциона в эл</w:t>
      </w:r>
      <w:r>
        <w:rPr>
          <w:sz w:val="20"/>
          <w:szCs w:val="20"/>
          <w:lang w:eastAsia="en-US"/>
        </w:rPr>
        <w:t xml:space="preserve">ектронной форме или распорядиться земельным участком иным образом в соответствии с Кодексом.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  <w:lang w:eastAsia="en-US"/>
        </w:rPr>
        <w:t xml:space="preserve">12. </w:t>
      </w:r>
      <w:r>
        <w:rPr>
          <w:sz w:val="20"/>
          <w:szCs w:val="20"/>
        </w:rPr>
        <w:t xml:space="preserve">Организатор аукциона вправе отказаться от процедуры проведения аукциона в соответствии с пунктом 4 статьи 448 Гражданского кодекса Российской Федерации.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теч</w:t>
      </w:r>
      <w:r>
        <w:rPr>
          <w:sz w:val="20"/>
          <w:szCs w:val="20"/>
        </w:rPr>
        <w:t xml:space="preserve">ение 3 (трех) дней со дня принятия решения об отказе в проведен</w:t>
      </w:r>
      <w:r>
        <w:rPr>
          <w:sz w:val="20"/>
          <w:szCs w:val="20"/>
        </w:rPr>
        <w:t xml:space="preserve">ии ау</w:t>
      </w:r>
      <w:r>
        <w:rPr>
          <w:sz w:val="20"/>
          <w:szCs w:val="20"/>
        </w:rPr>
        <w:t xml:space="preserve">кциона организатор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13. Градостроительные планы земельного участ</w:t>
      </w:r>
      <w:r>
        <w:rPr>
          <w:color w:val="000000"/>
          <w:sz w:val="20"/>
          <w:szCs w:val="20"/>
        </w:rPr>
        <w:t xml:space="preserve">ка от 28.10.2025 № РФ-44-2-01-0-00-2025-0702-0,  от 18.11.2025 № РФ-44-2-01-0-00-2025-0755-0, 29.10.2025 № </w:t>
      </w:r>
      <w:r>
        <w:rPr>
          <w:color w:val="000000"/>
          <w:sz w:val="20"/>
          <w:szCs w:val="20"/>
        </w:rPr>
        <w:t xml:space="preserve">РФ-44-2-01-0-00-2025-0713-0</w:t>
      </w:r>
      <w:r>
        <w:rPr>
          <w:color w:val="000000"/>
          <w:sz w:val="20"/>
          <w:szCs w:val="20"/>
        </w:rPr>
        <w:t xml:space="preserve"> являются приложением к настоящему извещению (приложение 3)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rFonts w:ascii="Times New Roman" w:hAnsi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  <w:t xml:space="preserve">Ознакомиться</w:t>
      </w:r>
      <w:r>
        <w:rPr>
          <w:rFonts w:ascii="Times New Roman" w:hAnsi="Times New Roman"/>
          <w:sz w:val="20"/>
          <w:szCs w:val="20"/>
        </w:rPr>
        <w:t xml:space="preserve"> с градостроительными планами земельных участков возможно по месту приема заявок в течение срока приема заявок, на официальном сайте Российской Федераци</w:t>
      </w:r>
      <w:r>
        <w:rPr>
          <w:rFonts w:ascii="Times New Roman" w:hAnsi="Times New Roman"/>
          <w:sz w:val="20"/>
          <w:szCs w:val="20"/>
        </w:rPr>
        <w:t xml:space="preserve">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(http://torgi.gov.ru), и на официальном сайте Администрации города Костромы (http://</w:t>
      </w:r>
      <w:r>
        <w:rPr>
          <w:rFonts w:ascii="Times New Roman" w:hAnsi="Times New Roman"/>
          <w:sz w:val="20"/>
          <w:szCs w:val="20"/>
        </w:rPr>
        <w:t xml:space="preserve">grad.kostroma.gov.ru</w:t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</w:r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right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b/>
          <w:sz w:val="22"/>
          <w:szCs w:val="22"/>
          <w:lang w:eastAsia="zh-CN"/>
        </w:rPr>
      </w:pPr>
      <w:r>
        <w:rPr>
          <w:b/>
          <w:lang w:eastAsia="zh-CN"/>
        </w:rPr>
        <w:t xml:space="preserve">ЗАЯВКА </w:t>
      </w:r>
      <w:r>
        <w:rPr>
          <w:b/>
          <w:sz w:val="22"/>
          <w:szCs w:val="22"/>
          <w:lang w:eastAsia="zh-CN"/>
        </w:rPr>
        <w:t xml:space="preserve">НА УЧАСТИЕ В АУКЦИОНЕ В ЭЛЕКТРОННОЙ ФОРМЕ</w:t>
      </w:r>
      <w:r>
        <w:rPr>
          <w:b/>
          <w:sz w:val="22"/>
          <w:szCs w:val="22"/>
          <w:lang w:eastAsia="zh-CN"/>
        </w:rPr>
      </w:r>
      <w:r>
        <w:rPr>
          <w:b/>
          <w:sz w:val="22"/>
          <w:szCs w:val="22"/>
          <w:lang w:eastAsia="zh-CN"/>
        </w:rPr>
      </w:r>
    </w:p>
    <w:p>
      <w:pPr>
        <w:rPr>
          <w:b/>
          <w:sz w:val="2"/>
          <w:szCs w:val="10"/>
          <w:lang w:eastAsia="zh-CN"/>
        </w:rPr>
      </w:pP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</w:p>
    <w:p>
      <w:pPr>
        <w:rPr>
          <w:b/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В Управление имущественных и земельных отношений Администрации города Костромы</w:t>
      </w:r>
      <w:r>
        <w:rPr>
          <w:b/>
          <w:sz w:val="19"/>
          <w:szCs w:val="19"/>
          <w:lang w:eastAsia="zh-CN"/>
        </w:rPr>
      </w:r>
      <w:r>
        <w:rPr>
          <w:b/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Заявитель</w:t>
      </w:r>
      <w:r>
        <w:rPr>
          <w:sz w:val="19"/>
          <w:szCs w:val="19"/>
          <w:lang w:eastAsia="zh-CN"/>
        </w:rPr>
        <w:t xml:space="preserve"> </w:t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  <w:pBdr>
          <w:bottom w:val="single" w:color="000000" w:sz="4" w:space="0"/>
        </w:pBdr>
      </w:pP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</w:t>
      </w:r>
      <w:r>
        <w:rPr>
          <w:sz w:val="16"/>
          <w:szCs w:val="18"/>
          <w:lang w:eastAsia="zh-CN"/>
        </w:rPr>
        <w:t xml:space="preserve">(</w:t>
      </w:r>
      <w:r>
        <w:rPr>
          <w:bCs/>
          <w:sz w:val="16"/>
          <w:szCs w:val="18"/>
          <w:lang w:eastAsia="zh-CN"/>
        </w:rPr>
        <w:t xml:space="preserve">Ф.И.О. гражданина</w:t>
      </w:r>
      <w:r>
        <w:rPr>
          <w:sz w:val="16"/>
          <w:szCs w:val="18"/>
          <w:lang w:eastAsia="zh-CN"/>
        </w:rPr>
        <w:t xml:space="preserve">)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tbl>
      <w:tblPr>
        <w:tblW w:w="10496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496"/>
      </w:tblGrid>
      <w:tr>
        <w:tblPrEx/>
        <w:trPr>
          <w:trHeight w:val="1410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Заявителя: серия                                                   №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</w:t>
            </w:r>
            <w:r>
              <w:rPr>
                <w:sz w:val="18"/>
                <w:szCs w:val="18"/>
                <w:lang w:eastAsia="zh-CN"/>
              </w:rPr>
              <w:t xml:space="preserve">_______________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ИНН               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  <w:tr>
        <w:tblPrEx/>
        <w:trPr>
          <w:trHeight w:val="1179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textDirection w:val="lrTb"/>
            <w:noWrap w:val="false"/>
          </w:tcPr>
          <w:p>
            <w:pPr>
              <w:rPr>
                <w:rFonts w:eastAsia="Calibri"/>
              </w:rPr>
              <w:pBdr>
                <w:bottom w:val="single" w:color="000000" w:sz="4" w:space="0"/>
              </w:pBdr>
            </w:pPr>
            <w:r>
              <w:rPr>
                <w:b/>
                <w:sz w:val="18"/>
                <w:szCs w:val="18"/>
                <w:lang w:eastAsia="zh-CN"/>
              </w:rPr>
              <w:t xml:space="preserve">Представитель Заявителя</w:t>
            </w:r>
            <w:r>
              <w:rPr>
                <w:b/>
                <w:sz w:val="18"/>
                <w:szCs w:val="18"/>
                <w:vertAlign w:val="superscript"/>
                <w:lang w:eastAsia="zh-CN"/>
              </w:rPr>
              <w:footnoteReference w:id="2"/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jc w:val="center"/>
              <w:rPr>
                <w:b/>
                <w:sz w:val="16"/>
                <w:szCs w:val="18"/>
                <w:lang w:eastAsia="zh-CN"/>
              </w:rPr>
            </w:pPr>
            <w:r>
              <w:rPr>
                <w:b/>
                <w:sz w:val="16"/>
                <w:szCs w:val="18"/>
                <w:lang w:eastAsia="zh-CN"/>
              </w:rPr>
              <w:t xml:space="preserve">(Ф.И.О</w:t>
            </w:r>
            <w:r>
              <w:rPr>
                <w:b/>
                <w:sz w:val="16"/>
                <w:szCs w:val="18"/>
                <w:lang w:eastAsia="zh-CN"/>
              </w:rPr>
              <w:t xml:space="preserve">,)</w:t>
            </w:r>
            <w:r>
              <w:rPr>
                <w:b/>
                <w:sz w:val="16"/>
                <w:szCs w:val="18"/>
                <w:lang w:eastAsia="zh-CN"/>
              </w:rPr>
            </w:r>
            <w:r>
              <w:rPr>
                <w:b/>
                <w:sz w:val="16"/>
                <w:szCs w:val="18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представителя: серия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RepresentativePassportIssuer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RepresentativePhoneNumber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</w:tbl>
    <w:p>
      <w:pPr>
        <w:ind w:hanging="1"/>
        <w:jc w:val="both"/>
        <w:widowControl w:val="off"/>
        <w:rPr>
          <w:bCs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b/>
          <w:sz w:val="18"/>
          <w:szCs w:val="18"/>
          <w:lang w:eastAsia="zh-CN"/>
        </w:rPr>
        <w:t xml:space="preserve">принял решение об участии в аукционе по продаже земельного участка </w:t>
      </w:r>
      <w:r>
        <w:rPr>
          <w:b/>
          <w:sz w:val="18"/>
          <w:szCs w:val="18"/>
          <w:lang w:eastAsia="zh-CN"/>
        </w:rPr>
        <w:t xml:space="preserve">с кадастровым </w:t>
      </w:r>
      <w:r>
        <w:rPr>
          <w:b/>
          <w:sz w:val="18"/>
          <w:szCs w:val="18"/>
          <w:lang w:eastAsia="zh-CN"/>
        </w:rPr>
        <w:t xml:space="preserve">номером:_______________________________________</w:t>
      </w:r>
      <w:r>
        <w:rPr>
          <w:b/>
          <w:sz w:val="18"/>
          <w:szCs w:val="18"/>
          <w:lang w:eastAsia="zh-CN"/>
        </w:rPr>
        <w:t xml:space="preserve">, расположенного по адресу (местоположение): ___________________________________________________________________________,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  <w:lang w:eastAsia="zh-CN"/>
        </w:rPr>
        <w:t xml:space="preserve">                                                                            </w:t>
      </w:r>
      <w:r>
        <w:rPr>
          <w:b/>
          <w:sz w:val="18"/>
          <w:szCs w:val="18"/>
          <w:lang w:eastAsia="zh-CN"/>
        </w:rPr>
        <w:t xml:space="preserve">руб.</w:t>
      </w:r>
      <w:r>
        <w:rPr>
          <w:sz w:val="18"/>
          <w:szCs w:val="18"/>
          <w:u w:val="single"/>
          <w:lang w:eastAsia="zh-CN"/>
        </w:rPr>
        <w:t xml:space="preserve">            (сумма прописью)</w:t>
      </w:r>
      <w:r>
        <w:rPr>
          <w:sz w:val="18"/>
          <w:szCs w:val="18"/>
          <w:lang w:eastAsia="zh-CN"/>
        </w:rPr>
        <w:t xml:space="preserve">, </w:t>
      </w:r>
      <w:r>
        <w:rPr>
          <w:b/>
          <w:sz w:val="18"/>
          <w:szCs w:val="18"/>
          <w:lang w:eastAsia="zh-CN"/>
        </w:rPr>
        <w:t xml:space="preserve">в сроки и в порядке, установленные в Извещении о проведении аукциона в электронной форме, и в соответствии с Регламентом Оператора электронной пло</w:t>
      </w:r>
      <w:r>
        <w:rPr>
          <w:b/>
          <w:sz w:val="18"/>
          <w:szCs w:val="18"/>
          <w:lang w:eastAsia="zh-CN"/>
        </w:rPr>
        <w:t xml:space="preserve">щадки.</w:t>
      </w:r>
      <w:r>
        <w:rPr>
          <w:bCs/>
          <w:lang w:eastAsia="zh-CN"/>
        </w:rPr>
      </w:r>
      <w:r>
        <w:rPr>
          <w:bCs/>
          <w:lang w:eastAsia="zh-CN"/>
        </w:rPr>
      </w:r>
    </w:p>
    <w:p>
      <w:pPr>
        <w:ind w:hanging="1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Банковские реквизиты для возврата задатка:</w:t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Банк ______________________________________________________________________________________________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Расчётный счёт _______________________________ Корреспондентский счёт 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БИК_________________________________________ Лицевой счёт 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Ф. И. О. (наименование) получателя 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обязуется: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Соблюдать условия и порядок про</w:t>
      </w:r>
      <w:r>
        <w:rPr>
          <w:sz w:val="18"/>
          <w:szCs w:val="18"/>
          <w:lang w:eastAsia="zh-CN"/>
        </w:rPr>
        <w:t xml:space="preserve">ведения аукциона в электронной форме, содержащиеся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Регламенте Оператора электронной площадки.</w:t>
      </w:r>
      <w:r>
        <w:rPr>
          <w:sz w:val="18"/>
          <w:szCs w:val="18"/>
          <w:vertAlign w:val="superscript"/>
          <w:lang w:eastAsia="zh-CN"/>
        </w:rPr>
        <w:footnoteReference w:id="3"/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В случае признания Победителем аукциона в электронной форме, а также в иных случаях, предусмотренных пунк</w:t>
      </w:r>
      <w:r>
        <w:rPr>
          <w:sz w:val="18"/>
          <w:szCs w:val="18"/>
          <w:lang w:eastAsia="zh-CN"/>
        </w:rPr>
        <w:t xml:space="preserve">тами 13 и 14 статьи 39.12 Земельного кодекса Российской Федерации, заключить договор с Продавцом в соответствии с порядком, сроками и требованиями, установленными Извещением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договором.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согласен и приним</w:t>
      </w:r>
      <w:r>
        <w:rPr>
          <w:sz w:val="18"/>
          <w:szCs w:val="18"/>
          <w:lang w:eastAsia="zh-CN"/>
        </w:rPr>
        <w:t xml:space="preserve">ает все условия, требования, положения Извещения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</w:t>
      </w:r>
      <w:r>
        <w:rPr>
          <w:sz w:val="18"/>
          <w:szCs w:val="18"/>
          <w:lang w:eastAsia="zh-CN"/>
        </w:rPr>
        <w:t xml:space="preserve">омлен с реальным состоянием Земельного участка </w:t>
      </w:r>
      <w:r>
        <w:rPr>
          <w:b/>
          <w:sz w:val="18"/>
          <w:szCs w:val="18"/>
          <w:lang w:eastAsia="zh-CN"/>
        </w:rPr>
        <w:t xml:space="preserve">и не имеет претензий к ним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От</w:t>
      </w:r>
      <w:r>
        <w:rPr>
          <w:sz w:val="18"/>
          <w:szCs w:val="18"/>
          <w:lang w:eastAsia="zh-CN"/>
        </w:rPr>
        <w:t xml:space="preserve">ветственность за достоверность представленных документов и информации несет Заявитель. 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</w:t>
      </w:r>
      <w:r>
        <w:rPr>
          <w:sz w:val="18"/>
          <w:szCs w:val="18"/>
          <w:lang w:eastAsia="zh-CN"/>
        </w:rPr>
        <w:t xml:space="preserve">ения блокирования денежных сре</w:t>
      </w:r>
      <w:r>
        <w:rPr>
          <w:sz w:val="18"/>
          <w:szCs w:val="18"/>
          <w:lang w:eastAsia="zh-CN"/>
        </w:rPr>
        <w:t xml:space="preserve">дств в к</w:t>
      </w:r>
      <w:r>
        <w:rPr>
          <w:sz w:val="18"/>
          <w:szCs w:val="18"/>
          <w:lang w:eastAsia="zh-CN"/>
        </w:rPr>
        <w:t xml:space="preserve">ачестве задатка, и они ему понятны.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</w:t>
      </w:r>
      <w:r>
        <w:rPr>
          <w:sz w:val="18"/>
          <w:szCs w:val="18"/>
          <w:lang w:eastAsia="zh-CN"/>
        </w:rPr>
        <w:t xml:space="preserve">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 </w:t>
      </w:r>
      <w:r>
        <w:rPr>
          <w:sz w:val="17"/>
          <w:szCs w:val="17"/>
          <w:vertAlign w:val="superscript"/>
          <w:lang w:eastAsia="zh-CN"/>
        </w:rPr>
        <w:footnoteReference w:id="4"/>
      </w:r>
      <w:r>
        <w:rPr>
          <w:sz w:val="17"/>
          <w:szCs w:val="17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осведомлен и согласен с те</w:t>
      </w:r>
      <w:r>
        <w:rPr>
          <w:sz w:val="18"/>
          <w:szCs w:val="18"/>
          <w:lang w:eastAsia="zh-CN"/>
        </w:rPr>
        <w:t xml:space="preserve">м, что Продавец/Организатор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а также приос</w:t>
      </w:r>
      <w:r>
        <w:rPr>
          <w:sz w:val="18"/>
          <w:szCs w:val="18"/>
          <w:lang w:eastAsia="zh-CN"/>
        </w:rPr>
        <w:t xml:space="preserve">тановлением процедуры проведения аукциона в электронной форме. </w:t>
      </w:r>
      <w:r>
        <w:rPr>
          <w:sz w:val="18"/>
          <w:szCs w:val="18"/>
          <w:lang w:eastAsia="zh-CN"/>
        </w:rPr>
        <w:t xml:space="preserve">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</w:t>
      </w:r>
      <w:r>
        <w:rPr>
          <w:sz w:val="18"/>
          <w:szCs w:val="18"/>
          <w:lang w:eastAsia="zh-CN"/>
        </w:rPr>
        <w:t xml:space="preserve">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sz w:val="18"/>
          <w:szCs w:val="18"/>
          <w:lang w:eastAsia="zh-CN"/>
        </w:rPr>
        <w:t xml:space="preserve">www.</w:t>
      </w:r>
      <w:r>
        <w:rPr>
          <w:sz w:val="18"/>
          <w:szCs w:val="18"/>
          <w:lang w:eastAsia="zh-CN"/>
        </w:rPr>
        <w:t xml:space="preserve">torgi.gov</w:t>
      </w:r>
      <w:r>
        <w:rPr>
          <w:sz w:val="18"/>
          <w:szCs w:val="18"/>
          <w:lang w:eastAsia="zh-CN"/>
        </w:rPr>
        <w:t xml:space="preserve">.</w:t>
      </w:r>
      <w:r>
        <w:rPr>
          <w:color w:val="000000"/>
          <w:sz w:val="18"/>
          <w:szCs w:val="18"/>
          <w:lang w:eastAsia="zh-CN"/>
        </w:rPr>
        <w:t xml:space="preserve">ruи</w:t>
      </w:r>
      <w:r>
        <w:rPr>
          <w:color w:val="000000"/>
          <w:sz w:val="18"/>
          <w:szCs w:val="18"/>
          <w:lang w:eastAsia="zh-CN"/>
        </w:rPr>
        <w:t xml:space="preserve"> </w:t>
      </w:r>
      <w:r>
        <w:rPr>
          <w:color w:val="000000"/>
          <w:sz w:val="18"/>
          <w:szCs w:val="18"/>
          <w:lang w:eastAsia="zh-CN"/>
        </w:rPr>
        <w:t xml:space="preserve">сайте</w:t>
      </w:r>
      <w:r>
        <w:rPr>
          <w:color w:val="000000"/>
          <w:sz w:val="18"/>
          <w:szCs w:val="18"/>
          <w:lang w:eastAsia="zh-CN"/>
        </w:rPr>
        <w:t xml:space="preserve"> Оператора электронной площадки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</w:t>
      </w:r>
      <w:r>
        <w:rPr>
          <w:sz w:val="18"/>
          <w:szCs w:val="18"/>
          <w:lang w:eastAsia="zh-CN"/>
        </w:rPr>
        <w:t xml:space="preserve">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</w:t>
      </w:r>
      <w:r>
        <w:rPr>
          <w:sz w:val="18"/>
          <w:szCs w:val="18"/>
          <w:lang w:eastAsia="zh-CN"/>
        </w:rPr>
        <w:t xml:space="preserve">енение), использование, обезличивание, блокирование</w:t>
      </w:r>
      <w:r>
        <w:rPr>
          <w:sz w:val="18"/>
          <w:szCs w:val="18"/>
          <w:lang w:eastAsia="zh-CN"/>
        </w:rPr>
        <w:t xml:space="preserve">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</w:t>
      </w:r>
      <w:r>
        <w:rPr>
          <w:sz w:val="18"/>
          <w:szCs w:val="18"/>
          <w:lang w:eastAsia="zh-CN"/>
        </w:rPr>
        <w:t xml:space="preserve">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</w:t>
      </w:r>
      <w:r>
        <w:rPr>
          <w:sz w:val="18"/>
          <w:szCs w:val="18"/>
          <w:lang w:eastAsia="zh-CN"/>
        </w:rPr>
        <w:t xml:space="preserve">, права и обязанности в области защиты персональных данных ему известны.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spacing w:after="160" w:line="259" w:lineRule="auto"/>
        <w:rPr>
          <w:szCs w:val="28"/>
          <w:lang w:eastAsia="zh-CN"/>
        </w:rPr>
      </w:pPr>
      <w:r>
        <w:rPr>
          <w:szCs w:val="28"/>
          <w:lang w:eastAsia="zh-CN"/>
        </w:rPr>
      </w:r>
      <w:r>
        <w:rPr>
          <w:szCs w:val="28"/>
          <w:lang w:eastAsia="zh-CN"/>
        </w:rPr>
      </w:r>
      <w:r>
        <w:rPr>
          <w:szCs w:val="28"/>
          <w:lang w:eastAsia="zh-CN"/>
        </w:rPr>
      </w:r>
    </w:p>
    <w:p>
      <w:pPr>
        <w:spacing w:after="160" w:line="259" w:lineRule="auto"/>
        <w:rPr>
          <w:bCs/>
          <w:szCs w:val="28"/>
          <w:lang w:eastAsia="zh-CN"/>
        </w:rPr>
      </w:pPr>
      <w:r>
        <w:rPr>
          <w:szCs w:val="28"/>
          <w:lang w:eastAsia="zh-CN"/>
        </w:rPr>
        <w:t xml:space="preserve">Подписано усиленной квалифицированной электронной подписью</w:t>
      </w:r>
      <w:r>
        <w:rPr>
          <w:bCs/>
          <w:szCs w:val="28"/>
          <w:lang w:eastAsia="zh-CN"/>
        </w:rPr>
      </w:r>
      <w:r>
        <w:rPr>
          <w:bCs/>
          <w:szCs w:val="28"/>
          <w:lang w:eastAsia="zh-CN"/>
        </w:rPr>
      </w:r>
    </w:p>
    <w:tbl>
      <w:tblPr>
        <w:tblStyle w:val="938"/>
        <w:tblW w:w="5000" w:type="pct"/>
        <w:tblBorders>
          <w:insideH w:val="none" w:color="000000" w:sz="0" w:space="0"/>
          <w:insideV w:val="none" w:color="000000" w:sz="0" w:space="0"/>
        </w:tblBorders>
        <w:tblCellMar>
          <w:left w:w="85" w:type="dxa"/>
          <w:top w:w="28" w:type="dxa"/>
          <w:right w:w="85" w:type="dxa"/>
          <w:bottom w:w="28" w:type="dxa"/>
        </w:tblCellMar>
        <w:tblLook w:val="04A0" w:firstRow="1" w:lastRow="0" w:firstColumn="1" w:lastColumn="0" w:noHBand="0" w:noVBand="1"/>
      </w:tblPr>
      <w:tblGrid>
        <w:gridCol w:w="9666"/>
      </w:tblGrid>
      <w:tr>
        <w:tblPrEx/>
        <w:trPr>
          <w:trHeight w:val="262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spacing w:before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электронной подписи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Владелец: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Организация: </w:t>
            </w:r>
            <w:r>
              <w:rPr>
                <w:sz w:val="16"/>
                <w:szCs w:val="16"/>
                <w:lang w:eastAsia="zh-CN"/>
              </w:rPr>
              <w:fldChar w:fldCharType="begin"/>
            </w:r>
            <w:r>
              <w:rPr>
                <w:sz w:val="16"/>
                <w:szCs w:val="16"/>
                <w:lang w:eastAsia="zh-CN"/>
              </w:rPr>
              <w:instrText xml:space="preserve"> Документ_ЭлПодпись_Организация_Участник </w:instrText>
            </w:r>
            <w:r>
              <w:rPr>
                <w:sz w:val="16"/>
                <w:szCs w:val="16"/>
                <w:lang w:eastAsia="zh-CN"/>
              </w:rPr>
              <w:fldChar w:fldCharType="separate"/>
            </w:r>
            <w:r>
              <w:rPr>
                <w:b/>
                <w:bCs/>
                <w:sz w:val="16"/>
                <w:szCs w:val="16"/>
                <w:lang w:eastAsia="zh-CN"/>
              </w:rPr>
              <w:t xml:space="preserve">.</w:t>
            </w:r>
            <w:r>
              <w:rPr>
                <w:sz w:val="16"/>
                <w:szCs w:val="16"/>
                <w:lang w:eastAsia="zh-CN"/>
              </w:rPr>
              <w:fldChar w:fldCharType="end"/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Подписано: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b/>
                <w:sz w:val="16"/>
                <w:szCs w:val="16"/>
                <w:lang w:eastAsia="zh-CN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сертификата</w:t>
            </w:r>
            <w:r>
              <w:rPr>
                <w:b/>
                <w:sz w:val="16"/>
                <w:szCs w:val="16"/>
                <w:lang w:eastAsia="zh-CN"/>
              </w:rPr>
            </w:r>
            <w:r>
              <w:rPr>
                <w:b/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Серийный номер: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Срок действия: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</w:tbl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r/>
      <w:bookmarkStart w:id="0" w:name="undefined"/>
      <w:r/>
      <w:bookmarkEnd w:id="0"/>
      <w:r/>
      <w:r/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ДОГОВОР № 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купли-продажи земельного участка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город Кострома                                                                               ______________ года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Управление имущественных и земельных отношений Администрации города Костромы, в лице ______________________________, действующего на основании ________________________, именуемый в дальнейшем «Продавец», с одной стороны, и _________________________________</w:t>
      </w:r>
      <w:r>
        <w:rPr>
          <w:color w:val="000000"/>
          <w:sz w:val="20"/>
          <w:szCs w:val="20"/>
        </w:rPr>
        <w:t xml:space="preserve">_________, в лице ________________________________________, действующего на основании _____________________, именуемый в дальнейшем «Покупатель», с другой стороны, совместно именуемые «Стороны», на основании протокола о результатах аукциона по продаже земе</w:t>
      </w:r>
      <w:r>
        <w:rPr>
          <w:color w:val="000000"/>
          <w:sz w:val="20"/>
          <w:szCs w:val="20"/>
        </w:rPr>
        <w:t xml:space="preserve">льного участка ____________, руководствуясь Земельным кодексом Российской Федерации, заключили настоящий договор о нижеследующем.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1. Предмет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1.1. Продавец обязуется передать в собственность Покупателя земельный участок площадью _______ м</w:t>
      </w:r>
      <w:r>
        <w:rPr>
          <w:color w:val="000000"/>
          <w:sz w:val="20"/>
          <w:szCs w:val="20"/>
          <w:vertAlign w:val="superscript"/>
        </w:rPr>
        <w:t xml:space="preserve">2</w:t>
      </w:r>
      <w:r>
        <w:rPr>
          <w:color w:val="000000"/>
          <w:sz w:val="20"/>
          <w:szCs w:val="20"/>
        </w:rPr>
        <w:t xml:space="preserve"> с када</w:t>
      </w:r>
      <w:r>
        <w:rPr>
          <w:color w:val="000000"/>
          <w:sz w:val="20"/>
          <w:szCs w:val="20"/>
        </w:rPr>
        <w:t xml:space="preserve">стровым номером: ______________________, категория земель: земли населенных пунктов, разрешенное использование: __________________________, по </w:t>
      </w:r>
      <w:r>
        <w:rPr>
          <w:color w:val="000000"/>
          <w:sz w:val="20"/>
          <w:szCs w:val="20"/>
        </w:rPr>
        <w:t xml:space="preserve">адресу:___________________________________</w:t>
      </w:r>
      <w:r>
        <w:rPr>
          <w:color w:val="000000"/>
          <w:sz w:val="20"/>
          <w:szCs w:val="20"/>
        </w:rPr>
        <w:t xml:space="preserve">, а Покупатель обязуется принять земельный участок и уплатить за него о</w:t>
      </w:r>
      <w:r>
        <w:rPr>
          <w:color w:val="000000"/>
          <w:sz w:val="20"/>
          <w:szCs w:val="20"/>
        </w:rPr>
        <w:t xml:space="preserve">пределенную настоящим договором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1.2. План земельного участка указан в кадастровом паспорте _____________________________, выданном филиалом ФГБУ «ФКП </w:t>
      </w:r>
      <w:r>
        <w:rPr>
          <w:color w:val="000000"/>
          <w:sz w:val="20"/>
          <w:szCs w:val="20"/>
        </w:rPr>
        <w:t xml:space="preserve">Росреестра</w:t>
      </w:r>
      <w:r>
        <w:rPr>
          <w:color w:val="000000"/>
          <w:sz w:val="20"/>
          <w:szCs w:val="20"/>
        </w:rPr>
        <w:t xml:space="preserve">»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1.3. Земельный участок обременен _________________________________.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2. Цена договора и порядок оплаты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2.1. Цена продажи земельного участка составляет ______________________ рублей.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2.2. Покупатель единовременно в течение 10 (десяти) рабочих дней после заключения настоящего договора перечисляет сумму, указанную в пункте 2.1  настоящего договора, безналичным денежным расчетом (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</w:t>
      </w:r>
      <w:r>
        <w:rPr>
          <w:sz w:val="20"/>
          <w:szCs w:val="20"/>
          <w:highlight w:val="white"/>
        </w:rPr>
        <w:t xml:space="preserve">нных и земельных отношений Администрации города Костромы); ИНН / КПП 4401006568 / 440101001; Единый казначейский счет 40102810145370000103; Казначейский счет 03100643000000014100; </w:t>
      </w:r>
      <w:r>
        <w:rPr>
          <w:sz w:val="20"/>
          <w:szCs w:val="20"/>
          <w:highlight w:val="white"/>
        </w:rPr>
        <w:t xml:space="preserve">Банк получателя ОКЦ № 1 ВОЛГО-ВЯТСКОЕ ГУ БАНКА РОССИИ//УФК по Костромской об</w:t>
      </w:r>
      <w:r>
        <w:rPr>
          <w:sz w:val="20"/>
          <w:szCs w:val="20"/>
          <w:highlight w:val="white"/>
        </w:rPr>
        <w:t xml:space="preserve">ласти, г. Кострома; БИК ТОФК 042202103; ОКТМО 34701000, КБК 96611406012040000430, назн</w:t>
      </w:r>
      <w:r>
        <w:rPr>
          <w:color w:val="000000"/>
          <w:sz w:val="20"/>
          <w:szCs w:val="20"/>
        </w:rPr>
        <w:t xml:space="preserve">ачение платежа: за земельный участок по договору купли-продажи от ___________  № ____.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Перечисленный Продавцу задаток за участие в аукционе по продаже земельного участка в</w:t>
      </w:r>
      <w:r>
        <w:rPr>
          <w:color w:val="000000"/>
          <w:sz w:val="20"/>
          <w:szCs w:val="20"/>
        </w:rPr>
        <w:t xml:space="preserve"> сумме </w:t>
      </w:r>
      <w:r>
        <w:rPr>
          <w:color w:val="000000"/>
          <w:sz w:val="20"/>
          <w:szCs w:val="20"/>
        </w:rPr>
        <w:t xml:space="preserve">_________рублей</w:t>
      </w:r>
      <w:r>
        <w:rPr>
          <w:color w:val="000000"/>
          <w:sz w:val="20"/>
          <w:szCs w:val="20"/>
        </w:rPr>
        <w:t xml:space="preserve"> зачисляется в счет платежа по настоящему договору за земельный участок.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2.3. Факт перечисления денежных средств, указанных в пункте 2.2 настоящего договора, подтверждается выпиской Управления федерального казначейства по Костромской </w:t>
      </w:r>
      <w:r>
        <w:rPr>
          <w:color w:val="000000"/>
          <w:sz w:val="20"/>
          <w:szCs w:val="20"/>
        </w:rPr>
        <w:t xml:space="preserve">области с лицевого счета Продавца о поступлении денежных сре</w:t>
      </w:r>
      <w:r>
        <w:rPr>
          <w:color w:val="000000"/>
          <w:sz w:val="20"/>
          <w:szCs w:val="20"/>
        </w:rPr>
        <w:t xml:space="preserve">дств в б</w:t>
      </w:r>
      <w:r>
        <w:rPr>
          <w:color w:val="000000"/>
          <w:sz w:val="20"/>
          <w:szCs w:val="20"/>
        </w:rPr>
        <w:t xml:space="preserve">юджет города Костромы и выпиской из лицевого счета Продавца соответственно.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2.4. Обязательство Покупателя по оплате земельного участка считается исполненным надлежащим образом в случае, ес</w:t>
      </w:r>
      <w:r>
        <w:rPr>
          <w:color w:val="000000"/>
          <w:sz w:val="20"/>
          <w:szCs w:val="20"/>
        </w:rPr>
        <w:t xml:space="preserve">ли денежные средства, указанные в пункте 2.2 настоящего договора, поступили в размере, в срок и на реквизиты, указанные в пункте 2.2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3. Права и обязанности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3.1. Продавец обязан передать земельный участок Покупателю не позднее чем через 5 (пять) дней после дня его полной оплаты. Передача земельного участка Продавцом и принятие его Покупателем оформляется подписываемым Сторонами актом приема-передачи. Обязатель</w:t>
      </w:r>
      <w:r>
        <w:rPr>
          <w:color w:val="000000"/>
          <w:sz w:val="20"/>
          <w:szCs w:val="20"/>
        </w:rPr>
        <w:t xml:space="preserve">ство Продавца по передаче земельного участка считается исполненным надлежащим образом с момента подписания Сторонами акта приема-передачи.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 Покупатель обязан: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3.2.1. </w:t>
      </w:r>
      <w:r>
        <w:rPr>
          <w:color w:val="000000"/>
          <w:sz w:val="20"/>
          <w:szCs w:val="20"/>
        </w:rPr>
        <w:t xml:space="preserve">оплатить стоимость земельного</w:t>
      </w:r>
      <w:r>
        <w:rPr>
          <w:color w:val="000000"/>
          <w:sz w:val="20"/>
          <w:szCs w:val="20"/>
        </w:rPr>
        <w:t xml:space="preserve"> участка в размере, сроки и в порядке, установленные наст</w:t>
      </w:r>
      <w:r>
        <w:rPr>
          <w:color w:val="000000"/>
          <w:sz w:val="20"/>
          <w:szCs w:val="20"/>
        </w:rPr>
        <w:t xml:space="preserve">оящим договором;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3.2.2. содержать земельный участок в надлежащем санитарном и техническом состоянии в соответствии с действующим законодательством.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4. Ответственность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4.1. Стороны несут ответственность за ненадлежащее выполнение условий настоящего </w:t>
      </w:r>
      <w:r>
        <w:rPr>
          <w:color w:val="000000"/>
          <w:sz w:val="20"/>
          <w:szCs w:val="20"/>
        </w:rPr>
        <w:t xml:space="preserve">договора в соответствии с законодательством Российской Федерации.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  <w:highlight w:val="yellow"/>
        </w:rPr>
      </w:pPr>
      <w:r>
        <w:rPr>
          <w:color w:val="000000"/>
          <w:sz w:val="20"/>
          <w:szCs w:val="20"/>
        </w:rPr>
        <w:t xml:space="preserve">4.2. За нарушение срока перечисления денежных средств, указанных в пункте 2.2 настоящего договора, и/или неполное их перечисление, Покупатель уплачивает Продавцу неустойку в виде пени за каж</w:t>
      </w:r>
      <w:r>
        <w:rPr>
          <w:color w:val="000000"/>
          <w:sz w:val="20"/>
          <w:szCs w:val="20"/>
        </w:rPr>
        <w:t xml:space="preserve">дый день просрочки в размере 1/150 ставки рефинансирования Центрального Банка Российской Федерации, действующей на дату выполнения денежного обязательства. 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имущественных и земельных отношений Администрации </w:t>
      </w:r>
      <w:r>
        <w:rPr>
          <w:sz w:val="20"/>
          <w:szCs w:val="20"/>
          <w:highlight w:val="white"/>
        </w:rPr>
        <w:t xml:space="preserve">города Костромы); ИНН / КПП 4401006568 / 440101001; Единый казначейский счет 40102810145370000103;Казначейский счет 03100643000000014100; Банк получателя ОКЦ № 1 ВОЛГО-ВЯТСКОЕ ГУ БАНКА РОССИИ//УФК по Костромской области, </w:t>
      </w:r>
      <w:r>
        <w:rPr>
          <w:sz w:val="20"/>
          <w:szCs w:val="20"/>
          <w:highlight w:val="white"/>
        </w:rPr>
        <w:t xml:space="preserve">г</w:t>
      </w:r>
      <w:r>
        <w:rPr>
          <w:sz w:val="20"/>
          <w:szCs w:val="20"/>
          <w:highlight w:val="white"/>
        </w:rPr>
        <w:t xml:space="preserve">. Кострома; БИК ТОФК 042202103; ОК</w:t>
      </w:r>
      <w:r>
        <w:rPr>
          <w:sz w:val="20"/>
          <w:szCs w:val="20"/>
          <w:highlight w:val="white"/>
        </w:rPr>
        <w:t xml:space="preserve">ТМО 34701000; КБК 96611607090040002140</w:t>
      </w:r>
      <w:r>
        <w:rPr>
          <w:sz w:val="20"/>
          <w:szCs w:val="20"/>
        </w:rPr>
        <w:t xml:space="preserve">.</w:t>
      </w:r>
      <w:r>
        <w:rPr>
          <w:color w:val="000000"/>
          <w:sz w:val="20"/>
          <w:szCs w:val="20"/>
          <w:highlight w:val="yellow"/>
        </w:rPr>
      </w:r>
      <w:r>
        <w:rPr>
          <w:color w:val="000000"/>
          <w:sz w:val="20"/>
          <w:szCs w:val="20"/>
          <w:highlight w:val="yellow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4.3. Уплата неустойки не освобождает Покупателя от исполнения обязательств по настоящему договору.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5. Возникновение права собственности и действие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5.1. Настоящий договор признается заключенным с момента его подписания Сторонами.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5.2. Отношения между Сторонами по настоящему договору прекращаются при исполнении ими всех его условий.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5.3. Право собственности на земельный участок возникает у Покупателя </w:t>
      </w:r>
      <w:r>
        <w:rPr>
          <w:color w:val="000000"/>
          <w:sz w:val="20"/>
          <w:szCs w:val="20"/>
        </w:rPr>
        <w:t xml:space="preserve">с момента государственной регистрации в Управлении Федеральной службы государственной регистрации, кадастра и картографии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6. Расторжение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6.1. Настоящий </w:t>
      </w:r>
      <w:r>
        <w:rPr>
          <w:color w:val="000000"/>
          <w:sz w:val="20"/>
          <w:szCs w:val="20"/>
        </w:rPr>
        <w:t xml:space="preserve">договор</w:t>
      </w:r>
      <w:r>
        <w:rPr>
          <w:color w:val="000000"/>
          <w:sz w:val="20"/>
          <w:szCs w:val="20"/>
        </w:rPr>
        <w:t xml:space="preserve"> может быть расторгнут по основаниям, установленным законодате</w:t>
      </w:r>
      <w:r>
        <w:rPr>
          <w:color w:val="000000"/>
          <w:sz w:val="20"/>
          <w:szCs w:val="20"/>
        </w:rPr>
        <w:t xml:space="preserve">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6.2. В случае расторжения настоящего договора в связи с нарушением Покупателем его условий он уплачивает Продавцу штраф в размере 50 (пятидесяти) процентов от цены продажи земельного участка, указанной в пункте 2.1 настоящего </w:t>
      </w:r>
      <w:r>
        <w:rPr>
          <w:color w:val="000000"/>
          <w:sz w:val="20"/>
          <w:szCs w:val="20"/>
        </w:rPr>
        <w:t xml:space="preserve">договора.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6.3. Расторжение настоящего договора не освобождает Покупателя от выплаты неустойки, установленной в пункте 4.2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7. Заключительные положения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7.1. До заключения настоящего договора Покупатель ознакомился с состоянием земельного участка.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7.2. Сроки, указанные в настоящем договоре, исчисляются днями. Течение срока начинается на следующий день после наступления события, которым определено его нача</w:t>
      </w:r>
      <w:r>
        <w:rPr>
          <w:color w:val="000000"/>
          <w:sz w:val="20"/>
          <w:szCs w:val="20"/>
        </w:rPr>
        <w:t xml:space="preserve">ло.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7.3. Споры, возникающие при исполнении настоящего договора, разрешаются Сторонами в порядке, установленном законодательством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7.4. Отношения Сторон, не урегулированные настоящим договором, регулируются законодательством Российской </w:t>
      </w:r>
      <w:r>
        <w:rPr>
          <w:color w:val="000000"/>
          <w:sz w:val="20"/>
          <w:szCs w:val="20"/>
        </w:rPr>
        <w:t xml:space="preserve">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7.5. Изменения и дополнения к настоящему договору считаются действительными, если совершены в письменной форме и подписаны Сторонами или их уполномоченными представителями.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40"/>
        <w:jc w:val="both"/>
        <w:spacing w:line="288" w:lineRule="atLeast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7.6. </w:t>
      </w:r>
      <w:r>
        <w:rPr>
          <w:sz w:val="20"/>
          <w:szCs w:val="20"/>
        </w:rPr>
        <w:t xml:space="preserve">Настоящий Договор </w:t>
      </w:r>
      <w:r>
        <w:rPr>
          <w:color w:val="000000"/>
          <w:sz w:val="20"/>
          <w:szCs w:val="20"/>
        </w:rPr>
        <w:t xml:space="preserve">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8. Юридические адреса и реквизиты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Продавец: Управление имущественных и земельных отношений Администрации города Костромы, мест</w:t>
      </w:r>
      <w:r>
        <w:rPr>
          <w:color w:val="000000"/>
          <w:sz w:val="20"/>
          <w:szCs w:val="20"/>
        </w:rPr>
        <w:t xml:space="preserve">о нахождения и почтовый адрес: 156005, город Кострома, площадь Конституции, дом 2.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Покупатель: _______________________________________________________________________________ _______________________________________________________________________________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9. Подписи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Продавец: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Покупатель: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Управление имущественных и земельных отношений Администрации города Костромы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283" w:right="709" w:bottom="539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Verdana">
    <w:panose1 w:val="020B0604030504040204"/>
  </w:font>
  <w:font w:name="Courier New">
    <w:panose1 w:val="02070309020205020404"/>
  </w:font>
  <w:font w:name="Mangal">
    <w:panose1 w:val="02040503050203030202"/>
  </w:font>
  <w:font w:name="Wingdings">
    <w:panose1 w:val="05000000000000000000"/>
  </w:font>
  <w:font w:name="a_Timer">
    <w:panose1 w:val="02000603000000000000"/>
  </w:font>
  <w:font w:name="Liberation Sans">
    <w:panose1 w:val="020B0604020202020204"/>
  </w:font>
  <w:font w:name="Segoe UI">
    <w:panose1 w:val="020B0502040204020203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>
      <w:pPr>
        <w:jc w:val="both"/>
      </w:pPr>
      <w:r>
        <w:rPr>
          <w:rStyle w:val="777"/>
        </w:rPr>
        <w:footnoteRef/>
      </w:r>
      <w:r>
        <w:t xml:space="preserve"> </w:t>
      </w:r>
      <w:r>
        <w:rPr>
          <w:sz w:val="18"/>
          <w:szCs w:val="18"/>
        </w:rPr>
        <w:t xml:space="preserve">Заполняется при подаче Заявки лицом, действующим по доверенности.</w:t>
      </w:r>
      <w:r/>
    </w:p>
  </w:footnote>
  <w:footnote w:id="3">
    <w:p>
      <w:pPr>
        <w:pStyle w:val="811"/>
        <w:contextualSpacing/>
        <w:jc w:val="both"/>
        <w:spacing w:line="216" w:lineRule="auto"/>
        <w:rPr>
          <w:sz w:val="18"/>
          <w:szCs w:val="18"/>
        </w:rPr>
      </w:pPr>
      <w:r>
        <w:rPr>
          <w:rStyle w:val="777"/>
        </w:rPr>
        <w:footnoteRef/>
      </w:r>
      <w:r>
        <w:t xml:space="preserve"> </w:t>
      </w:r>
      <w:r>
        <w:rPr>
          <w:sz w:val="18"/>
          <w:szCs w:val="18"/>
        </w:rPr>
        <w:t xml:space="preserve">Ознакомлен</w:t>
      </w:r>
      <w:r>
        <w:rPr>
          <w:sz w:val="18"/>
          <w:szCs w:val="18"/>
        </w:rPr>
        <w:t xml:space="preserve"> с Регламентом Оператора электронной площадки при регистрации (аккредитации) на электронной площадке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4">
    <w:p>
      <w:pPr>
        <w:pStyle w:val="811"/>
        <w:contextualSpacing/>
        <w:jc w:val="both"/>
        <w:spacing w:line="216" w:lineRule="auto"/>
      </w:pPr>
      <w:r>
        <w:rPr>
          <w:rStyle w:val="777"/>
        </w:rPr>
        <w:footnoteRef/>
      </w:r>
      <w:r>
        <w:t xml:space="preserve"> </w:t>
      </w:r>
      <w:r>
        <w:rPr>
          <w:sz w:val="18"/>
          <w:szCs w:val="18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электронног</w:t>
      </w:r>
      <w:r>
        <w:rPr>
          <w:sz w:val="18"/>
          <w:szCs w:val="18"/>
        </w:rPr>
        <w:t xml:space="preserve">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</w:t>
      </w:r>
      <w:r>
        <w:rPr>
          <w:sz w:val="18"/>
          <w:szCs w:val="18"/>
        </w:rPr>
        <w:t xml:space="preserve">дпринимательства в Российской Федерации».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246" w:hanging="139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46" w:hanging="1395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46" w:hanging="1395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46" w:hanging="1395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46" w:hanging="1395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91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91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51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4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0">
    <w:name w:val="Title Char"/>
    <w:basedOn w:val="724"/>
    <w:link w:val="785"/>
    <w:uiPriority w:val="10"/>
    <w:rPr>
      <w:sz w:val="48"/>
      <w:szCs w:val="48"/>
    </w:rPr>
  </w:style>
  <w:style w:type="character" w:styleId="721">
    <w:name w:val="Subtitle Char"/>
    <w:basedOn w:val="724"/>
    <w:link w:val="786"/>
    <w:uiPriority w:val="11"/>
    <w:rPr>
      <w:sz w:val="24"/>
      <w:szCs w:val="24"/>
    </w:rPr>
  </w:style>
  <w:style w:type="character" w:styleId="722">
    <w:name w:val="Endnote Text Char"/>
    <w:link w:val="790"/>
    <w:uiPriority w:val="99"/>
    <w:rPr>
      <w:sz w:val="20"/>
    </w:rPr>
  </w:style>
  <w:style w:type="paragraph" w:styleId="723" w:default="1">
    <w:name w:val="Normal"/>
    <w:qFormat/>
    <w:rPr>
      <w:rFonts w:ascii="Times New Roman" w:hAnsi="Times New Roman" w:eastAsia="Times New Roman" w:cs="Times New Roman"/>
      <w:sz w:val="24"/>
      <w:szCs w:val="24"/>
    </w:rPr>
  </w:style>
  <w:style w:type="character" w:styleId="724" w:default="1">
    <w:name w:val="Default Paragraph Font"/>
    <w:uiPriority w:val="1"/>
    <w:semiHidden/>
    <w:unhideWhenUsed/>
  </w:style>
  <w:style w:type="table" w:styleId="72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6" w:default="1">
    <w:name w:val="No List"/>
    <w:uiPriority w:val="99"/>
    <w:semiHidden/>
    <w:unhideWhenUsed/>
  </w:style>
  <w:style w:type="character" w:styleId="727" w:customStyle="1">
    <w:name w:val="Heading 1 Char"/>
    <w:basedOn w:val="724"/>
    <w:link w:val="742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Heading 2 Char"/>
    <w:basedOn w:val="724"/>
    <w:link w:val="743"/>
    <w:uiPriority w:val="9"/>
    <w:rPr>
      <w:rFonts w:ascii="Arial" w:hAnsi="Arial" w:eastAsia="Arial" w:cs="Arial"/>
      <w:sz w:val="34"/>
    </w:rPr>
  </w:style>
  <w:style w:type="character" w:styleId="729" w:customStyle="1">
    <w:name w:val="Heading 3 Char"/>
    <w:basedOn w:val="724"/>
    <w:link w:val="744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Heading 4 Char"/>
    <w:basedOn w:val="724"/>
    <w:link w:val="745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Heading 5 Char"/>
    <w:basedOn w:val="724"/>
    <w:link w:val="746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Heading 6 Char"/>
    <w:basedOn w:val="724"/>
    <w:link w:val="747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Heading 7 Char"/>
    <w:basedOn w:val="724"/>
    <w:link w:val="7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Heading 8 Char"/>
    <w:basedOn w:val="724"/>
    <w:link w:val="749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Heading 9 Char"/>
    <w:basedOn w:val="724"/>
    <w:link w:val="750"/>
    <w:uiPriority w:val="9"/>
    <w:rPr>
      <w:rFonts w:ascii="Arial" w:hAnsi="Arial" w:eastAsia="Arial" w:cs="Arial"/>
      <w:i/>
      <w:iCs/>
      <w:sz w:val="21"/>
      <w:szCs w:val="21"/>
    </w:rPr>
  </w:style>
  <w:style w:type="character" w:styleId="736" w:customStyle="1">
    <w:name w:val="Название Знак"/>
    <w:basedOn w:val="724"/>
    <w:link w:val="785"/>
    <w:uiPriority w:val="10"/>
    <w:rPr>
      <w:sz w:val="48"/>
      <w:szCs w:val="48"/>
    </w:rPr>
  </w:style>
  <w:style w:type="character" w:styleId="737" w:customStyle="1">
    <w:name w:val="Подзаголовок Знак1"/>
    <w:basedOn w:val="724"/>
    <w:link w:val="786"/>
    <w:uiPriority w:val="11"/>
    <w:rPr>
      <w:sz w:val="24"/>
      <w:szCs w:val="24"/>
    </w:rPr>
  </w:style>
  <w:style w:type="character" w:styleId="738" w:customStyle="1">
    <w:name w:val="Quote Char"/>
    <w:link w:val="787"/>
    <w:uiPriority w:val="29"/>
    <w:rPr>
      <w:i/>
    </w:rPr>
  </w:style>
  <w:style w:type="character" w:styleId="739" w:customStyle="1">
    <w:name w:val="Intense Quote Char"/>
    <w:link w:val="788"/>
    <w:uiPriority w:val="30"/>
    <w:rPr>
      <w:i/>
    </w:rPr>
  </w:style>
  <w:style w:type="character" w:styleId="740" w:customStyle="1">
    <w:name w:val="Текст концевой сноски Знак1"/>
    <w:link w:val="790"/>
    <w:uiPriority w:val="99"/>
    <w:rPr>
      <w:sz w:val="20"/>
    </w:rPr>
  </w:style>
  <w:style w:type="paragraph" w:styleId="741">
    <w:name w:val="toc 2"/>
    <w:basedOn w:val="723"/>
    <w:next w:val="723"/>
    <w:uiPriority w:val="39"/>
    <w:unhideWhenUsed/>
    <w:pPr>
      <w:ind w:left="283"/>
      <w:spacing w:after="57"/>
    </w:pPr>
  </w:style>
  <w:style w:type="paragraph" w:styleId="742" w:customStyle="1">
    <w:name w:val="Heading 1"/>
    <w:basedOn w:val="723"/>
    <w:next w:val="723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3" w:customStyle="1">
    <w:name w:val="Heading 2"/>
    <w:basedOn w:val="723"/>
    <w:next w:val="723"/>
    <w:link w:val="75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4" w:customStyle="1">
    <w:name w:val="Heading 3"/>
    <w:basedOn w:val="723"/>
    <w:next w:val="723"/>
    <w:link w:val="8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5" w:customStyle="1">
    <w:name w:val="Heading 4"/>
    <w:basedOn w:val="723"/>
    <w:next w:val="723"/>
    <w:link w:val="81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6" w:customStyle="1">
    <w:name w:val="Heading 5"/>
    <w:basedOn w:val="723"/>
    <w:next w:val="723"/>
    <w:link w:val="81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47" w:customStyle="1">
    <w:name w:val="Heading 6"/>
    <w:basedOn w:val="723"/>
    <w:next w:val="723"/>
    <w:link w:val="75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8" w:customStyle="1">
    <w:name w:val="Heading 7"/>
    <w:basedOn w:val="723"/>
    <w:next w:val="723"/>
    <w:link w:val="7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9" w:customStyle="1">
    <w:name w:val="Heading 8"/>
    <w:basedOn w:val="723"/>
    <w:next w:val="723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0" w:customStyle="1">
    <w:name w:val="Heading 9"/>
    <w:basedOn w:val="723"/>
    <w:next w:val="723"/>
    <w:link w:val="7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1" w:customStyle="1">
    <w:name w:val="Заголовок 2 Знак"/>
    <w:basedOn w:val="724"/>
    <w:link w:val="743"/>
    <w:uiPriority w:val="9"/>
    <w:qFormat/>
    <w:rPr>
      <w:rFonts w:ascii="Arial" w:hAnsi="Arial" w:eastAsia="Arial" w:cs="Arial"/>
      <w:sz w:val="34"/>
    </w:rPr>
  </w:style>
  <w:style w:type="character" w:styleId="752" w:customStyle="1">
    <w:name w:val="Заголовок 6 Знак"/>
    <w:basedOn w:val="724"/>
    <w:link w:val="74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basedOn w:val="724"/>
    <w:link w:val="74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basedOn w:val="724"/>
    <w:link w:val="74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basedOn w:val="724"/>
    <w:link w:val="75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6" w:customStyle="1">
    <w:name w:val="Заголовок Знак"/>
    <w:basedOn w:val="724"/>
    <w:link w:val="785"/>
    <w:uiPriority w:val="10"/>
    <w:qFormat/>
    <w:rPr>
      <w:sz w:val="48"/>
      <w:szCs w:val="48"/>
    </w:rPr>
  </w:style>
  <w:style w:type="character" w:styleId="757" w:customStyle="1">
    <w:name w:val="Подзаголовок Знак"/>
    <w:basedOn w:val="724"/>
    <w:link w:val="786"/>
    <w:uiPriority w:val="11"/>
    <w:qFormat/>
    <w:rPr>
      <w:sz w:val="24"/>
      <w:szCs w:val="24"/>
    </w:rPr>
  </w:style>
  <w:style w:type="character" w:styleId="758" w:customStyle="1">
    <w:name w:val="Цитата 2 Знак"/>
    <w:link w:val="787"/>
    <w:uiPriority w:val="29"/>
    <w:qFormat/>
    <w:rPr>
      <w:i/>
    </w:rPr>
  </w:style>
  <w:style w:type="character" w:styleId="759" w:customStyle="1">
    <w:name w:val="Выделенная цитата Знак"/>
    <w:link w:val="788"/>
    <w:uiPriority w:val="30"/>
    <w:qFormat/>
    <w:rPr>
      <w:i/>
    </w:rPr>
  </w:style>
  <w:style w:type="character" w:styleId="760" w:customStyle="1">
    <w:name w:val="Header Char"/>
    <w:basedOn w:val="724"/>
    <w:uiPriority w:val="99"/>
    <w:qFormat/>
  </w:style>
  <w:style w:type="character" w:styleId="761" w:customStyle="1">
    <w:name w:val="Footer Char"/>
    <w:basedOn w:val="724"/>
    <w:uiPriority w:val="99"/>
    <w:qFormat/>
  </w:style>
  <w:style w:type="character" w:styleId="762" w:customStyle="1">
    <w:name w:val="Caption Char"/>
    <w:link w:val="789"/>
    <w:uiPriority w:val="99"/>
    <w:qFormat/>
  </w:style>
  <w:style w:type="character" w:styleId="763" w:customStyle="1">
    <w:name w:val="Footnote Text Char"/>
    <w:uiPriority w:val="99"/>
    <w:qFormat/>
    <w:rPr>
      <w:sz w:val="18"/>
    </w:rPr>
  </w:style>
  <w:style w:type="character" w:styleId="764" w:customStyle="1">
    <w:name w:val="Текст концевой сноски Знак"/>
    <w:link w:val="790"/>
    <w:uiPriority w:val="99"/>
    <w:qFormat/>
    <w:rPr>
      <w:sz w:val="20"/>
    </w:rPr>
  </w:style>
  <w:style w:type="character" w:styleId="765" w:customStyle="1">
    <w:name w:val="Символ концевой сноски"/>
    <w:basedOn w:val="724"/>
    <w:uiPriority w:val="99"/>
    <w:semiHidden/>
    <w:unhideWhenUsed/>
    <w:qFormat/>
    <w:rPr>
      <w:vertAlign w:val="superscript"/>
    </w:rPr>
  </w:style>
  <w:style w:type="character" w:styleId="766">
    <w:name w:val="endnote reference"/>
    <w:rPr>
      <w:vertAlign w:val="superscript"/>
    </w:rPr>
  </w:style>
  <w:style w:type="character" w:styleId="767">
    <w:name w:val="FollowedHyperlink"/>
    <w:basedOn w:val="724"/>
    <w:uiPriority w:val="99"/>
    <w:unhideWhenUsed/>
    <w:qFormat/>
    <w:rPr>
      <w:color w:val="800080"/>
      <w:u w:val="single"/>
    </w:rPr>
  </w:style>
  <w:style w:type="character" w:styleId="768">
    <w:name w:val="Hyperlink"/>
    <w:basedOn w:val="724"/>
    <w:uiPriority w:val="99"/>
    <w:unhideWhenUsed/>
    <w:qFormat/>
    <w:rPr>
      <w:color w:val="0000ff"/>
      <w:u w:val="single"/>
    </w:rPr>
  </w:style>
  <w:style w:type="character" w:styleId="769">
    <w:name w:val="Strong"/>
    <w:basedOn w:val="724"/>
    <w:qFormat/>
    <w:rPr>
      <w:rFonts w:cs="Times New Roman"/>
      <w:b/>
      <w:bCs/>
    </w:rPr>
  </w:style>
  <w:style w:type="character" w:styleId="770" w:customStyle="1">
    <w:name w:val="Верхний колонтитул Знак"/>
    <w:basedOn w:val="724"/>
    <w:link w:val="804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71" w:customStyle="1">
    <w:name w:val="Нижний колонтитул Знак"/>
    <w:basedOn w:val="724"/>
    <w:link w:val="805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72" w:customStyle="1">
    <w:name w:val="10"/>
    <w:basedOn w:val="724"/>
    <w:qFormat/>
    <w:rPr>
      <w:rFonts w:ascii="Times New Roman" w:hAnsi="Times New Roman" w:cs="Times New Roman"/>
    </w:rPr>
  </w:style>
  <w:style w:type="character" w:styleId="773" w:customStyle="1">
    <w:name w:val="15"/>
    <w:basedOn w:val="724"/>
    <w:qFormat/>
    <w:rPr>
      <w:rFonts w:ascii="Times New Roman" w:hAnsi="Times New Roman" w:cs="Times New Roman"/>
      <w:color w:val="0000ff"/>
      <w:u w:val="single"/>
    </w:rPr>
  </w:style>
  <w:style w:type="character" w:styleId="774" w:customStyle="1">
    <w:name w:val="16"/>
    <w:basedOn w:val="724"/>
    <w:qFormat/>
    <w:rPr>
      <w:rFonts w:ascii="Times New Roman" w:hAnsi="Times New Roman" w:cs="Times New Roman"/>
    </w:rPr>
  </w:style>
  <w:style w:type="character" w:styleId="775" w:customStyle="1">
    <w:name w:val="rts-text"/>
    <w:basedOn w:val="724"/>
    <w:qFormat/>
  </w:style>
  <w:style w:type="character" w:styleId="776" w:customStyle="1">
    <w:name w:val="Символ сноски"/>
    <w:qFormat/>
    <w:rPr>
      <w:vertAlign w:val="superscript"/>
    </w:rPr>
  </w:style>
  <w:style w:type="character" w:styleId="777">
    <w:name w:val="footnote reference"/>
    <w:rPr>
      <w:vertAlign w:val="superscript"/>
    </w:rPr>
  </w:style>
  <w:style w:type="character" w:styleId="778" w:customStyle="1">
    <w:name w:val="Текст сноски Знак"/>
    <w:basedOn w:val="724"/>
    <w:link w:val="811"/>
    <w:qFormat/>
    <w:rPr>
      <w:rFonts w:ascii="Times New Roman" w:hAnsi="Times New Roman" w:eastAsia="Times New Roman" w:cs="Times New Roman"/>
      <w:lang w:eastAsia="zh-CN"/>
    </w:rPr>
  </w:style>
  <w:style w:type="character" w:styleId="779" w:customStyle="1">
    <w:name w:val="Текст выноски Знак"/>
    <w:basedOn w:val="724"/>
    <w:link w:val="812"/>
    <w:uiPriority w:val="99"/>
    <w:semiHidden/>
    <w:qFormat/>
    <w:rPr>
      <w:rFonts w:ascii="Segoe UI" w:hAnsi="Segoe UI" w:eastAsia="Times New Roman" w:cs="Segoe UI"/>
      <w:sz w:val="18"/>
      <w:szCs w:val="18"/>
    </w:rPr>
  </w:style>
  <w:style w:type="paragraph" w:styleId="780" w:customStyle="1">
    <w:name w:val="Заголовок"/>
    <w:basedOn w:val="723"/>
    <w:next w:val="781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781">
    <w:name w:val="Body Text"/>
    <w:basedOn w:val="723"/>
    <w:pPr>
      <w:spacing w:after="140" w:line="276" w:lineRule="auto"/>
    </w:pPr>
  </w:style>
  <w:style w:type="paragraph" w:styleId="782">
    <w:name w:val="List"/>
    <w:basedOn w:val="781"/>
    <w:rPr>
      <w:rFonts w:cs="Mangal"/>
    </w:rPr>
  </w:style>
  <w:style w:type="paragraph" w:styleId="783" w:customStyle="1">
    <w:name w:val="Caption"/>
    <w:basedOn w:val="723"/>
    <w:link w:val="762"/>
    <w:qFormat/>
    <w:pPr>
      <w:spacing w:before="120" w:after="120"/>
      <w:suppressLineNumbers/>
    </w:pPr>
    <w:rPr>
      <w:rFonts w:cs="Mangal"/>
      <w:i/>
      <w:iCs/>
    </w:rPr>
  </w:style>
  <w:style w:type="paragraph" w:styleId="784">
    <w:name w:val="index heading"/>
    <w:basedOn w:val="723"/>
    <w:qFormat/>
    <w:pPr>
      <w:suppressLineNumbers/>
    </w:pPr>
    <w:rPr>
      <w:rFonts w:cs="Mangal"/>
    </w:rPr>
  </w:style>
  <w:style w:type="paragraph" w:styleId="785">
    <w:name w:val="Title"/>
    <w:basedOn w:val="723"/>
    <w:next w:val="723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6">
    <w:name w:val="Subtitle"/>
    <w:basedOn w:val="723"/>
    <w:next w:val="723"/>
    <w:link w:val="737"/>
    <w:uiPriority w:val="11"/>
    <w:qFormat/>
    <w:pPr>
      <w:spacing w:before="200" w:after="200"/>
    </w:pPr>
  </w:style>
  <w:style w:type="paragraph" w:styleId="787">
    <w:name w:val="Quote"/>
    <w:basedOn w:val="723"/>
    <w:next w:val="723"/>
    <w:link w:val="758"/>
    <w:uiPriority w:val="29"/>
    <w:qFormat/>
    <w:pPr>
      <w:ind w:left="720" w:right="720"/>
    </w:pPr>
    <w:rPr>
      <w:i/>
    </w:rPr>
  </w:style>
  <w:style w:type="paragraph" w:styleId="788">
    <w:name w:val="Intense Quote"/>
    <w:basedOn w:val="723"/>
    <w:next w:val="723"/>
    <w:link w:val="75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9" w:customStyle="1">
    <w:name w:val="Caption"/>
    <w:basedOn w:val="723"/>
    <w:next w:val="723"/>
    <w:link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90">
    <w:name w:val="endnote text"/>
    <w:basedOn w:val="723"/>
    <w:link w:val="740"/>
    <w:uiPriority w:val="99"/>
    <w:semiHidden/>
    <w:unhideWhenUsed/>
    <w:rPr>
      <w:sz w:val="20"/>
    </w:rPr>
  </w:style>
  <w:style w:type="paragraph" w:styleId="791">
    <w:name w:val="toc 1"/>
    <w:basedOn w:val="723"/>
    <w:next w:val="723"/>
    <w:uiPriority w:val="39"/>
    <w:unhideWhenUsed/>
    <w:pPr>
      <w:spacing w:after="57"/>
    </w:pPr>
  </w:style>
  <w:style w:type="paragraph" w:styleId="792">
    <w:name w:val="toc 3"/>
    <w:basedOn w:val="723"/>
    <w:next w:val="723"/>
    <w:uiPriority w:val="39"/>
    <w:unhideWhenUsed/>
    <w:pPr>
      <w:ind w:left="567"/>
      <w:spacing w:after="57"/>
    </w:pPr>
  </w:style>
  <w:style w:type="paragraph" w:styleId="793">
    <w:name w:val="toc 4"/>
    <w:basedOn w:val="723"/>
    <w:next w:val="723"/>
    <w:uiPriority w:val="39"/>
    <w:unhideWhenUsed/>
    <w:pPr>
      <w:ind w:left="850"/>
      <w:spacing w:after="57"/>
    </w:pPr>
  </w:style>
  <w:style w:type="paragraph" w:styleId="794">
    <w:name w:val="toc 5"/>
    <w:basedOn w:val="723"/>
    <w:next w:val="723"/>
    <w:uiPriority w:val="39"/>
    <w:unhideWhenUsed/>
    <w:pPr>
      <w:ind w:left="1134"/>
      <w:spacing w:after="57"/>
    </w:pPr>
  </w:style>
  <w:style w:type="paragraph" w:styleId="795">
    <w:name w:val="toc 6"/>
    <w:basedOn w:val="723"/>
    <w:next w:val="723"/>
    <w:uiPriority w:val="39"/>
    <w:unhideWhenUsed/>
    <w:pPr>
      <w:ind w:left="1417"/>
      <w:spacing w:after="57"/>
    </w:pPr>
  </w:style>
  <w:style w:type="paragraph" w:styleId="796">
    <w:name w:val="toc 7"/>
    <w:basedOn w:val="723"/>
    <w:next w:val="723"/>
    <w:uiPriority w:val="39"/>
    <w:unhideWhenUsed/>
    <w:pPr>
      <w:ind w:left="1701"/>
      <w:spacing w:after="57"/>
    </w:pPr>
  </w:style>
  <w:style w:type="paragraph" w:styleId="797">
    <w:name w:val="toc 8"/>
    <w:basedOn w:val="723"/>
    <w:next w:val="723"/>
    <w:uiPriority w:val="39"/>
    <w:unhideWhenUsed/>
    <w:pPr>
      <w:ind w:left="1984"/>
      <w:spacing w:after="57"/>
    </w:pPr>
  </w:style>
  <w:style w:type="paragraph" w:styleId="798">
    <w:name w:val="toc 9"/>
    <w:basedOn w:val="723"/>
    <w:next w:val="723"/>
    <w:uiPriority w:val="39"/>
    <w:unhideWhenUsed/>
    <w:pPr>
      <w:ind w:left="2268"/>
      <w:spacing w:after="57"/>
    </w:pPr>
  </w:style>
  <w:style w:type="paragraph" w:styleId="799" w:customStyle="1">
    <w:name w:val="Index Heading"/>
    <w:basedOn w:val="780"/>
  </w:style>
  <w:style w:type="paragraph" w:styleId="800">
    <w:name w:val="TOC Heading"/>
    <w:uiPriority w:val="39"/>
    <w:unhideWhenUsed/>
  </w:style>
  <w:style w:type="paragraph" w:styleId="801">
    <w:name w:val="table of figures"/>
    <w:basedOn w:val="723"/>
    <w:next w:val="723"/>
    <w:uiPriority w:val="99"/>
    <w:unhideWhenUsed/>
    <w:qFormat/>
  </w:style>
  <w:style w:type="paragraph" w:styleId="802">
    <w:name w:val="Body Text Indent 3"/>
    <w:basedOn w:val="723"/>
    <w:uiPriority w:val="99"/>
    <w:unhideWhenUsed/>
    <w:qFormat/>
    <w:pPr>
      <w:ind w:left="283"/>
      <w:spacing w:after="120"/>
    </w:pPr>
    <w:rPr>
      <w:sz w:val="16"/>
      <w:szCs w:val="16"/>
    </w:rPr>
  </w:style>
  <w:style w:type="paragraph" w:styleId="803" w:customStyle="1">
    <w:name w:val="Колонтитул"/>
    <w:basedOn w:val="723"/>
    <w:qFormat/>
  </w:style>
  <w:style w:type="paragraph" w:styleId="804" w:customStyle="1">
    <w:name w:val="Header"/>
    <w:basedOn w:val="723"/>
    <w:link w:val="770"/>
    <w:uiPriority w:val="99"/>
    <w:unhideWhenUsed/>
    <w:qFormat/>
  </w:style>
  <w:style w:type="paragraph" w:styleId="805" w:customStyle="1">
    <w:name w:val="Footer"/>
    <w:basedOn w:val="723"/>
    <w:link w:val="771"/>
    <w:uiPriority w:val="99"/>
    <w:unhideWhenUsed/>
    <w:qFormat/>
  </w:style>
  <w:style w:type="paragraph" w:styleId="806">
    <w:name w:val="Normal (Web)"/>
    <w:basedOn w:val="723"/>
    <w:qFormat/>
    <w:pPr>
      <w:jc w:val="both"/>
      <w:spacing w:beforeAutospacing="1" w:afterAutospacing="1" w:line="360" w:lineRule="auto"/>
    </w:pPr>
    <w:rPr>
      <w:rFonts w:ascii="Verdana" w:hAnsi="Verdana"/>
      <w:color w:val="000000"/>
      <w:sz w:val="18"/>
      <w:szCs w:val="18"/>
    </w:rPr>
  </w:style>
  <w:style w:type="paragraph" w:styleId="807">
    <w:name w:val="No Spacing"/>
    <w:uiPriority w:val="1"/>
    <w:qFormat/>
    <w:rPr>
      <w:rFonts w:eastAsia="Times New Roman" w:cs="Times New Roman"/>
      <w:sz w:val="22"/>
      <w:szCs w:val="22"/>
      <w:lang w:eastAsia="en-US"/>
    </w:rPr>
  </w:style>
  <w:style w:type="paragraph" w:styleId="808" w:customStyle="1">
    <w:name w:val="rezul"/>
    <w:basedOn w:val="723"/>
    <w:qFormat/>
    <w:pPr>
      <w:ind w:firstLine="283"/>
      <w:jc w:val="both"/>
      <w:widowControl w:val="off"/>
    </w:pPr>
    <w:rPr>
      <w:b/>
      <w:szCs w:val="20"/>
      <w:lang w:val="en-US"/>
    </w:rPr>
  </w:style>
  <w:style w:type="paragraph" w:styleId="809" w:customStyle="1">
    <w:name w:val="Заголов1"/>
    <w:basedOn w:val="723"/>
    <w:uiPriority w:val="99"/>
    <w:qFormat/>
    <w:pPr>
      <w:jc w:val="center"/>
      <w:widowControl w:val="off"/>
    </w:pPr>
    <w:rPr>
      <w:rFonts w:ascii="a_Timer" w:hAnsi="a_Timer" w:cs="a_Timer"/>
      <w:lang w:val="en-US"/>
    </w:rPr>
  </w:style>
  <w:style w:type="paragraph" w:styleId="810">
    <w:name w:val="List Paragraph"/>
    <w:basedOn w:val="723"/>
    <w:uiPriority w:val="99"/>
    <w:qFormat/>
    <w:pPr>
      <w:contextualSpacing/>
      <w:ind w:left="720"/>
    </w:pPr>
  </w:style>
  <w:style w:type="paragraph" w:styleId="811">
    <w:name w:val="footnote text"/>
    <w:basedOn w:val="723"/>
    <w:link w:val="778"/>
    <w:rPr>
      <w:sz w:val="20"/>
      <w:szCs w:val="20"/>
      <w:lang w:eastAsia="zh-CN"/>
    </w:rPr>
  </w:style>
  <w:style w:type="paragraph" w:styleId="812">
    <w:name w:val="Balloon Text"/>
    <w:basedOn w:val="723"/>
    <w:link w:val="779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813" w:customStyle="1">
    <w:name w:val="Table Grid Light"/>
    <w:basedOn w:val="725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Plain Table 1"/>
    <w:basedOn w:val="725"/>
    <w:link w:val="742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5" w:customStyle="1">
    <w:name w:val="Plain Table 2"/>
    <w:basedOn w:val="725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6" w:customStyle="1">
    <w:name w:val="Plain Table 3"/>
    <w:basedOn w:val="725"/>
    <w:link w:val="7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7" w:customStyle="1">
    <w:name w:val="Plain Table 4"/>
    <w:basedOn w:val="725"/>
    <w:link w:val="7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Plain Table 5"/>
    <w:basedOn w:val="725"/>
    <w:link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1 Light"/>
    <w:basedOn w:val="725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1"/>
    <w:basedOn w:val="725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2"/>
    <w:basedOn w:val="725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3"/>
    <w:basedOn w:val="725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4"/>
    <w:basedOn w:val="725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5"/>
    <w:basedOn w:val="72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6"/>
    <w:basedOn w:val="725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2"/>
    <w:basedOn w:val="725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1"/>
    <w:basedOn w:val="725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2"/>
    <w:basedOn w:val="725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3"/>
    <w:basedOn w:val="725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4"/>
    <w:basedOn w:val="725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5"/>
    <w:basedOn w:val="72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6"/>
    <w:basedOn w:val="725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"/>
    <w:basedOn w:val="725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1"/>
    <w:basedOn w:val="725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2"/>
    <w:basedOn w:val="725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3"/>
    <w:basedOn w:val="725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4"/>
    <w:basedOn w:val="725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5"/>
    <w:basedOn w:val="72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6"/>
    <w:basedOn w:val="725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4"/>
    <w:basedOn w:val="725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1" w:customStyle="1">
    <w:name w:val="Grid Table 4 - Accent 1"/>
    <w:basedOn w:val="725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</w:style>
  <w:style w:type="table" w:styleId="842" w:customStyle="1">
    <w:name w:val="Grid Table 4 - Accent 2"/>
    <w:basedOn w:val="725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</w:style>
  <w:style w:type="table" w:styleId="843" w:customStyle="1">
    <w:name w:val="Grid Table 4 - Accent 3"/>
    <w:basedOn w:val="725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</w:style>
  <w:style w:type="table" w:styleId="844" w:customStyle="1">
    <w:name w:val="Grid Table 4 - Accent 4"/>
    <w:basedOn w:val="725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</w:style>
  <w:style w:type="table" w:styleId="845" w:customStyle="1">
    <w:name w:val="Grid Table 4 - Accent 5"/>
    <w:basedOn w:val="72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6" w:customStyle="1">
    <w:name w:val="Grid Table 4 - Accent 6"/>
    <w:basedOn w:val="725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7" w:customStyle="1">
    <w:name w:val="Grid Table 5 Dark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- Accent 1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 - Accent 2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3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- Accent 4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 - Accent 5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 - Accent 6"/>
    <w:basedOn w:val="72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6 Colorful"/>
    <w:basedOn w:val="72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5" w:customStyle="1">
    <w:name w:val="Grid Table 6 Colorful - Accent 1"/>
    <w:basedOn w:val="725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6" w:customStyle="1">
    <w:name w:val="Grid Table 6 Colorful - Accent 2"/>
    <w:basedOn w:val="72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7" w:customStyle="1">
    <w:name w:val="Grid Table 6 Colorful - Accent 3"/>
    <w:basedOn w:val="725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8" w:customStyle="1">
    <w:name w:val="Grid Table 6 Colorful - Accent 4"/>
    <w:basedOn w:val="72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9" w:customStyle="1">
    <w:name w:val="Grid Table 6 Colorful - Accent 5"/>
    <w:basedOn w:val="72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0" w:customStyle="1">
    <w:name w:val="Grid Table 6 Colorful - Accent 6"/>
    <w:basedOn w:val="725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1" w:customStyle="1">
    <w:name w:val="Grid Table 7 Colorful"/>
    <w:basedOn w:val="725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2" w:customStyle="1">
    <w:name w:val="Grid Table 7 Colorful - Accent 1"/>
    <w:basedOn w:val="725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3" w:customStyle="1">
    <w:name w:val="Grid Table 7 Colorful - Accent 2"/>
    <w:basedOn w:val="725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4" w:customStyle="1">
    <w:name w:val="Grid Table 7 Colorful - Accent 3"/>
    <w:basedOn w:val="725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5" w:customStyle="1">
    <w:name w:val="Grid Table 7 Colorful - Accent 4"/>
    <w:basedOn w:val="725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Grid Table 7 Colorful - Accent 5"/>
    <w:basedOn w:val="72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7" w:customStyle="1">
    <w:name w:val="Grid Table 7 Colorful - Accent 6"/>
    <w:basedOn w:val="725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8" w:customStyle="1">
    <w:name w:val="List Table 1 Light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1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2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3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4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5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6"/>
    <w:basedOn w:val="72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2"/>
    <w:basedOn w:val="725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6" w:customStyle="1">
    <w:name w:val="List Table 2 - Accent 1"/>
    <w:basedOn w:val="725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77" w:customStyle="1">
    <w:name w:val="List Table 2 - Accent 2"/>
    <w:basedOn w:val="725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78" w:customStyle="1">
    <w:name w:val="List Table 2 - Accent 3"/>
    <w:basedOn w:val="725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79" w:customStyle="1">
    <w:name w:val="List Table 2 - Accent 4"/>
    <w:basedOn w:val="725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80" w:customStyle="1">
    <w:name w:val="List Table 2 - Accent 5"/>
    <w:basedOn w:val="72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81" w:customStyle="1">
    <w:name w:val="List Table 2 - Accent 6"/>
    <w:basedOn w:val="725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82" w:customStyle="1">
    <w:name w:val="List Table 3"/>
    <w:basedOn w:val="725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1"/>
    <w:basedOn w:val="725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2"/>
    <w:basedOn w:val="72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3"/>
    <w:basedOn w:val="725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4"/>
    <w:basedOn w:val="72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5"/>
    <w:basedOn w:val="72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6"/>
    <w:basedOn w:val="725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"/>
    <w:basedOn w:val="725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1"/>
    <w:basedOn w:val="725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2"/>
    <w:basedOn w:val="725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3"/>
    <w:basedOn w:val="725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4"/>
    <w:basedOn w:val="725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5"/>
    <w:basedOn w:val="72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6"/>
    <w:basedOn w:val="725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5 Dark"/>
    <w:basedOn w:val="72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7" w:customStyle="1">
    <w:name w:val="List Table 5 Dark - Accent 1"/>
    <w:basedOn w:val="725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8" w:customStyle="1">
    <w:name w:val="List Table 5 Dark - Accent 2"/>
    <w:basedOn w:val="72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9" w:customStyle="1">
    <w:name w:val="List Table 5 Dark - Accent 3"/>
    <w:basedOn w:val="725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0" w:customStyle="1">
    <w:name w:val="List Table 5 Dark - Accent 4"/>
    <w:basedOn w:val="72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1" w:customStyle="1">
    <w:name w:val="List Table 5 Dark - Accent 5"/>
    <w:basedOn w:val="72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2" w:customStyle="1">
    <w:name w:val="List Table 5 Dark - Accent 6"/>
    <w:basedOn w:val="725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3" w:customStyle="1">
    <w:name w:val="List Table 6 Colorful"/>
    <w:basedOn w:val="72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4" w:customStyle="1">
    <w:name w:val="List Table 6 Colorful - Accent 1"/>
    <w:basedOn w:val="725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5" w:customStyle="1">
    <w:name w:val="List Table 6 Colorful - Accent 2"/>
    <w:basedOn w:val="72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906" w:customStyle="1">
    <w:name w:val="List Table 6 Colorful - Accent 3"/>
    <w:basedOn w:val="725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907" w:customStyle="1">
    <w:name w:val="List Table 6 Colorful - Accent 4"/>
    <w:basedOn w:val="72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908" w:customStyle="1">
    <w:name w:val="List Table 6 Colorful - Accent 5"/>
    <w:basedOn w:val="72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909" w:customStyle="1">
    <w:name w:val="List Table 6 Colorful - Accent 6"/>
    <w:basedOn w:val="725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910" w:customStyle="1">
    <w:name w:val="List Table 7 Colorful"/>
    <w:basedOn w:val="725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1" w:customStyle="1">
    <w:name w:val="List Table 7 Colorful - Accent 1"/>
    <w:basedOn w:val="725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2" w:customStyle="1">
    <w:name w:val="List Table 7 Colorful - Accent 2"/>
    <w:basedOn w:val="725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3" w:customStyle="1">
    <w:name w:val="List Table 7 Colorful - Accent 3"/>
    <w:basedOn w:val="725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4" w:customStyle="1">
    <w:name w:val="List Table 7 Colorful - Accent 4"/>
    <w:basedOn w:val="725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5" w:customStyle="1">
    <w:name w:val="List Table 7 Colorful - Accent 5"/>
    <w:basedOn w:val="72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6" w:customStyle="1">
    <w:name w:val="List Table 7 Colorful - Accent 6"/>
    <w:basedOn w:val="725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7" w:customStyle="1">
    <w:name w:val="Lined - Accent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18" w:customStyle="1">
    <w:name w:val="Lined - Accent 1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19" w:customStyle="1">
    <w:name w:val="Lined - Accent 2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20" w:customStyle="1">
    <w:name w:val="Lined - Accent 3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21" w:customStyle="1">
    <w:name w:val="Lined - Accent 4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2" w:customStyle="1">
    <w:name w:val="Lined - Accent 5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23" w:customStyle="1">
    <w:name w:val="Lined - Accent 6"/>
    <w:basedOn w:val="72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24" w:customStyle="1">
    <w:name w:val="Bordered &amp; Lined - Accent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25" w:customStyle="1">
    <w:name w:val="Bordered &amp; Lined - Accent 1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26" w:customStyle="1">
    <w:name w:val="Bordered &amp; Lined - Accent 2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27" w:customStyle="1">
    <w:name w:val="Bordered &amp; Lined - Accent 3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28" w:customStyle="1">
    <w:name w:val="Bordered &amp; Lined - Accent 4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9" w:customStyle="1">
    <w:name w:val="Bordered &amp; Lined - Accent 5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30" w:customStyle="1">
    <w:name w:val="Bordered &amp; Lined - Accent 6"/>
    <w:basedOn w:val="72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31" w:customStyle="1">
    <w:name w:val="Bordered"/>
    <w:basedOn w:val="725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32" w:customStyle="1">
    <w:name w:val="Bordered - Accent 1"/>
    <w:basedOn w:val="725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3" w:customStyle="1">
    <w:name w:val="Bordered - Accent 2"/>
    <w:basedOn w:val="725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934" w:customStyle="1">
    <w:name w:val="Bordered - Accent 3"/>
    <w:basedOn w:val="725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935" w:customStyle="1">
    <w:name w:val="Bordered - Accent 4"/>
    <w:basedOn w:val="725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936" w:customStyle="1">
    <w:name w:val="Bordered - Accent 5"/>
    <w:basedOn w:val="72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37" w:customStyle="1">
    <w:name w:val="Bordered - Accent 6"/>
    <w:basedOn w:val="725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</w:style>
  <w:style w:type="table" w:styleId="938">
    <w:name w:val="Table Grid"/>
    <w:basedOn w:val="725"/>
    <w:uiPriority w:val="59"/>
    <w:rPr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39" w:customStyle="1">
    <w:name w:val="Гиперссылка"/>
    <w:uiPriority w:val="99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grad.kostroma.gov.ru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Grizli777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dc:language>ru-RU</dc:language>
  <cp:lastModifiedBy>SokolovaMY</cp:lastModifiedBy>
  <cp:revision>86</cp:revision>
  <dcterms:created xsi:type="dcterms:W3CDTF">2023-10-31T06:24:00Z</dcterms:created>
  <dcterms:modified xsi:type="dcterms:W3CDTF">2026-10-05T12:40:58Z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A6359D14764B43E9BA567EF3ABEF27A6</vt:lpwstr>
  </property>
  <property fmtid="{D5CDD505-2E9C-101B-9397-08002B2CF9AE}" pid="3" name="KSOProductBuildVer">
    <vt:lpwstr>1049-11.2.0.11516</vt:lpwstr>
  </property>
</Properties>
</file>