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ind w:left="5245"/>
        <w:jc w:val="center"/>
        <w:rPr>
          <w:bCs/>
          <w:i/>
          <w:sz w:val="20"/>
          <w:szCs w:val="20"/>
          <w:highlight w:val="none"/>
        </w:rPr>
      </w:pPr>
      <w:r>
        <w:rPr>
          <w:bCs/>
          <w:i/>
          <w:sz w:val="20"/>
          <w:szCs w:val="20"/>
        </w:rPr>
        <w:t xml:space="preserve">от __________2026 года №_____</w:t>
      </w:r>
      <w:r>
        <w:rPr>
          <w:bCs/>
          <w:i/>
          <w:sz w:val="20"/>
          <w:szCs w:val="20"/>
          <w:highlight w:val="none"/>
        </w:rPr>
      </w:r>
      <w:r>
        <w:rPr>
          <w:bCs/>
          <w:i/>
          <w:sz w:val="20"/>
          <w:szCs w:val="20"/>
          <w:highlight w:val="none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pStyle w:val="807"/>
        <w:rPr>
          <w:sz w:val="20"/>
          <w:szCs w:val="20"/>
          <w:lang w:val="ru-RU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О проведен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ии ау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кциона по продаже земельных участков, расположенных на территории города Костромы, государственная собственность на который не разграничена </w:t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1. Управление имущественных и земельных отношений Администрации города Костромы сообщает о </w:t>
      </w:r>
      <w:r>
        <w:rPr>
          <w:sz w:val="20"/>
          <w:szCs w:val="20"/>
          <w:highlight w:val="white"/>
        </w:rPr>
        <w:t xml:space="preserve">п</w:t>
      </w:r>
      <w:r>
        <w:rPr>
          <w:sz w:val="20"/>
          <w:szCs w:val="20"/>
          <w:highlight w:val="white"/>
        </w:rPr>
        <w:t xml:space="preserve">роведен</w:t>
      </w:r>
      <w:r>
        <w:rPr>
          <w:sz w:val="20"/>
          <w:szCs w:val="20"/>
          <w:highlight w:val="white"/>
        </w:rPr>
        <w:t xml:space="preserve">ии</w:t>
      </w:r>
      <w:r>
        <w:rPr>
          <w:b/>
          <w:bCs/>
          <w:sz w:val="20"/>
          <w:szCs w:val="20"/>
          <w:highlight w:val="white"/>
        </w:rPr>
        <w:t xml:space="preserve"> 21 октября</w:t>
      </w:r>
      <w:r>
        <w:rPr>
          <w:b/>
          <w:bCs/>
          <w:sz w:val="20"/>
          <w:szCs w:val="20"/>
          <w:highlight w:val="white"/>
        </w:rPr>
        <w:t xml:space="preserve"> 2026</w:t>
      </w:r>
      <w:r>
        <w:rPr>
          <w:b/>
          <w:bCs/>
          <w:sz w:val="20"/>
          <w:szCs w:val="20"/>
          <w:highlight w:val="white"/>
        </w:rPr>
        <w:t xml:space="preserve"> года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  <w:highlight w:val="white"/>
        </w:rPr>
        <w:t xml:space="preserve">аукцио</w:t>
      </w:r>
      <w:r>
        <w:rPr>
          <w:sz w:val="20"/>
          <w:szCs w:val="20"/>
          <w:highlight w:val="white"/>
        </w:rPr>
        <w:t xml:space="preserve">на по</w:t>
      </w:r>
      <w:r>
        <w:rPr>
          <w:sz w:val="20"/>
          <w:szCs w:val="20"/>
          <w:highlight w:val="white"/>
        </w:rPr>
        <w:t xml:space="preserve"> продаже земельного участка.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Форма торгов – электронный аукцион. 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  <w:highlight w:val="white"/>
        </w:rPr>
        <w:t xml:space="preserve">Участниками аукциона являютс</w:t>
      </w:r>
      <w:r>
        <w:rPr>
          <w:sz w:val="20"/>
          <w:szCs w:val="20"/>
        </w:rPr>
        <w:t xml:space="preserve">я граждане.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2. Основание проведения аукци</w:t>
      </w:r>
      <w:r>
        <w:rPr>
          <w:sz w:val="20"/>
          <w:szCs w:val="20"/>
        </w:rPr>
        <w:t xml:space="preserve">она – 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25 августа 2026 года № 2030</w:t>
      </w:r>
      <w:r>
        <w:rPr>
          <w:sz w:val="20"/>
          <w:szCs w:val="20"/>
          <w:lang w:eastAsia="ar-SA"/>
        </w:rPr>
        <w:t xml:space="preserve"> «О проведении </w:t>
      </w:r>
      <w:r>
        <w:rPr>
          <w:sz w:val="20"/>
          <w:szCs w:val="20"/>
          <w:lang w:eastAsia="ar-SA"/>
        </w:rPr>
        <w:t xml:space="preserve">аукциона по продаже земельного участка, государственная собственность на которые не разграничена, расположенного по адресу: Российская Федерация, Костромская область, городской округ город Кострома, город Кострома, проезд Васильевский, земельный участок 15</w:t>
      </w:r>
      <w:r>
        <w:rPr>
          <w:sz w:val="20"/>
          <w:szCs w:val="20"/>
          <w:lang w:eastAsia="ar-SA"/>
        </w:rPr>
        <w:t xml:space="preserve">»</w:t>
      </w:r>
      <w:r>
        <w:rPr>
          <w:sz w:val="20"/>
          <w:szCs w:val="20"/>
        </w:rPr>
        <w:t xml:space="preserve">;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3 августа 2026 года № 1796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23</w:t>
      </w:r>
      <w:r>
        <w:rPr>
          <w:sz w:val="20"/>
          <w:szCs w:val="20"/>
          <w:lang w:eastAsia="ar-SA"/>
        </w:rPr>
        <w:t xml:space="preserve">»;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9 июля 2026 года № 1615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25</w:t>
      </w:r>
      <w:r>
        <w:rPr>
          <w:sz w:val="20"/>
          <w:szCs w:val="20"/>
          <w:lang w:eastAsia="ar-SA"/>
        </w:rPr>
        <w:t xml:space="preserve">»; </w:t>
      </w:r>
      <w:r>
        <w:rPr>
          <w:sz w:val="20"/>
          <w:szCs w:val="20"/>
          <w:lang w:eastAsia="ar-SA"/>
        </w:rPr>
        <w:t xml:space="preserve">поселок Васильевское, земельный участок 23</w:t>
      </w:r>
      <w:r>
        <w:rPr>
          <w:sz w:val="20"/>
          <w:szCs w:val="20"/>
          <w:lang w:eastAsia="ar-SA"/>
        </w:rPr>
        <w:t xml:space="preserve">»; </w:t>
      </w:r>
      <w:r>
        <w:rPr>
          <w:sz w:val="20"/>
          <w:szCs w:val="20"/>
          <w:lang w:eastAsia="ar-SA"/>
        </w:rPr>
        <w:t xml:space="preserve">постановление Администрации города Костромы от</w:t>
      </w:r>
      <w:r>
        <w:rPr>
          <w:sz w:val="20"/>
          <w:szCs w:val="20"/>
          <w:lang w:eastAsia="ar-SA"/>
        </w:rPr>
        <w:t xml:space="preserve"> 3 августа 2026 года № 1795</w:t>
      </w:r>
      <w:r>
        <w:rPr>
          <w:sz w:val="20"/>
          <w:szCs w:val="20"/>
          <w:lang w:eastAsia="ar-SA"/>
        </w:rPr>
        <w:t xml:space="preserve"> «О</w:t>
      </w:r>
      <w:r>
        <w:rPr>
          <w:sz w:val="20"/>
          <w:szCs w:val="20"/>
          <w:lang w:eastAsia="ar-SA"/>
        </w:rPr>
        <w:t xml:space="preserve">б отказе в предоставлении в собственность и о проведении аукциона по продаже земельного участка, расположенного по адресу: Российская Федерация, Костромская область, городской округ город Кострома, город Кострома, поселок Васильевское, земельный участок 27</w:t>
      </w:r>
      <w:r>
        <w:rPr>
          <w:sz w:val="20"/>
          <w:szCs w:val="20"/>
          <w:lang w:eastAsia="ar-SA"/>
        </w:rPr>
        <w:t xml:space="preserve">»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Сведения о предмете аукциона: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проезд Васильевский, земельный участок 15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880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44:27:070607:264;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на: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она застройки индивидуальными жилы</w:t>
      </w:r>
      <w:r>
        <w:rPr>
          <w:sz w:val="20"/>
          <w:szCs w:val="20"/>
        </w:rPr>
        <w:t xml:space="preserve">ми домами Ж-1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прпоектом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(СП), подзона (СП)-2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10,1 м (высотный параметр установлен до отметки обрезов карнизов скатных кровель/парапетов плоских кровель и является величиной постоянной); минимальный отступ от границ земельного участка – 3 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29.07.2026</w:t>
      </w:r>
      <w:r>
        <w:rPr>
          <w:sz w:val="20"/>
          <w:szCs w:val="20"/>
          <w:highlight w:val="white"/>
        </w:rPr>
        <w:br/>
        <w:t xml:space="preserve">№ исх.02.11/5105д, от 07.07.2026 № исх.02.11/4999д; газоснабжение от ООО «Газпром газораспределение Кострома» от 28.07.2026</w:t>
      </w:r>
      <w:r>
        <w:rPr>
          <w:sz w:val="20"/>
          <w:szCs w:val="20"/>
          <w:highlight w:val="white"/>
        </w:rPr>
        <w:t xml:space="preserve"> № ИС-15/3943,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30.07.2026 № 13-01/03349; </w:t>
      </w:r>
      <w:r>
        <w:rPr>
          <w:sz w:val="20"/>
          <w:szCs w:val="20"/>
          <w:highlight w:val="white"/>
        </w:rPr>
        <w:t xml:space="preserve">от ПАО «ТГК-2» от 29.07.2026 № 4201/963-2026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3 577 000</w:t>
      </w:r>
      <w:r>
        <w:rPr>
          <w:sz w:val="20"/>
          <w:szCs w:val="20"/>
        </w:rPr>
        <w:t xml:space="preserve"> (Три миллиона пятьсот семьдесят 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107 310</w:t>
      </w:r>
      <w:r>
        <w:rPr>
          <w:sz w:val="20"/>
          <w:szCs w:val="20"/>
        </w:rPr>
        <w:t xml:space="preserve"> (Сто семь </w:t>
      </w:r>
      <w:r>
        <w:rPr>
          <w:sz w:val="20"/>
          <w:szCs w:val="20"/>
        </w:rPr>
        <w:t xml:space="preserve">тысяч триста десять)</w:t>
      </w:r>
      <w:r>
        <w:rPr>
          <w:sz w:val="20"/>
          <w:szCs w:val="20"/>
        </w:rPr>
        <w:t xml:space="preserve">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задатка:894 250</w:t>
      </w:r>
      <w:r>
        <w:rPr>
          <w:sz w:val="20"/>
          <w:szCs w:val="20"/>
        </w:rPr>
        <w:t xml:space="preserve"> (Восемьсот девяносто четыре тысячи двести пятьдесят</w:t>
      </w:r>
      <w:r>
        <w:rPr>
          <w:sz w:val="20"/>
          <w:szCs w:val="20"/>
        </w:rPr>
        <w:t xml:space="preserve">) рублей.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- 28.05.2026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23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44:27:070601:2323;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прпоектом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</w:t>
      </w:r>
      <w:r>
        <w:rPr>
          <w:sz w:val="20"/>
          <w:szCs w:val="20"/>
        </w:rPr>
        <w:t xml:space="preserve">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/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исх.02.11/4567д,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ИС-15/3515,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13-01/02984;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начальная цена земельного участка: 2 967 000</w:t>
      </w:r>
      <w:r>
        <w:rPr>
          <w:sz w:val="20"/>
          <w:szCs w:val="20"/>
        </w:rPr>
        <w:t xml:space="preserve"> (Два миллиона девятьсот шестьдесят семь тысяч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шаг аукци</w:t>
      </w:r>
      <w:r>
        <w:rPr>
          <w:sz w:val="20"/>
          <w:szCs w:val="20"/>
        </w:rPr>
        <w:t xml:space="preserve">она: </w:t>
      </w:r>
      <w:r>
        <w:rPr>
          <w:sz w:val="20"/>
          <w:szCs w:val="20"/>
        </w:rPr>
        <w:t xml:space="preserve">89 010</w:t>
      </w:r>
      <w:r>
        <w:rPr>
          <w:sz w:val="20"/>
          <w:szCs w:val="20"/>
        </w:rPr>
        <w:t xml:space="preserve"> (Восемьсот девять тысяч десять</w:t>
      </w:r>
      <w:r>
        <w:rPr>
          <w:sz w:val="20"/>
          <w:szCs w:val="20"/>
        </w:rPr>
        <w:t xml:space="preserve">) рублей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размер задатка: </w:t>
      </w:r>
      <w:r>
        <w:rPr>
          <w:sz w:val="20"/>
          <w:szCs w:val="20"/>
        </w:rPr>
        <w:t xml:space="preserve">741 750 (Семьсот сорок одна тысяча семьсот пятьдесят) рублей;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25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44:27:070601:2322;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прпоектом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/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исх.02.11/4566д,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ИС-15/3516,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13-01/02985;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- начальная цена</w:t>
      </w:r>
      <w:r>
        <w:rPr>
          <w:sz w:val="20"/>
          <w:szCs w:val="20"/>
          <w:highlight w:val="white"/>
        </w:rPr>
        <w:t xml:space="preserve"> земельного участка:</w:t>
      </w:r>
      <w:r>
        <w:rPr>
          <w:sz w:val="20"/>
          <w:szCs w:val="20"/>
          <w:highlight w:val="white"/>
        </w:rPr>
        <w:t xml:space="preserve"> 2 967 000</w:t>
      </w:r>
      <w:r>
        <w:rPr>
          <w:sz w:val="20"/>
          <w:szCs w:val="20"/>
          <w:highlight w:val="white"/>
        </w:rPr>
        <w:t xml:space="preserve"> (Два миллиона девятьсот шестьдесят семь тысяч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шаг аукци</w:t>
      </w:r>
      <w:r>
        <w:rPr>
          <w:sz w:val="20"/>
          <w:szCs w:val="20"/>
          <w:highlight w:val="white"/>
        </w:rPr>
        <w:t xml:space="preserve">она: </w:t>
      </w:r>
      <w:r>
        <w:rPr>
          <w:sz w:val="20"/>
          <w:szCs w:val="20"/>
          <w:highlight w:val="white"/>
        </w:rPr>
        <w:t xml:space="preserve">89 010</w:t>
      </w:r>
      <w:r>
        <w:rPr>
          <w:sz w:val="20"/>
          <w:szCs w:val="20"/>
          <w:highlight w:val="white"/>
        </w:rPr>
        <w:t xml:space="preserve"> (Восемьсот девять тысяч десять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размер задатка: </w:t>
      </w:r>
      <w:r>
        <w:rPr>
          <w:sz w:val="20"/>
          <w:szCs w:val="20"/>
          <w:highlight w:val="white"/>
        </w:rPr>
        <w:t xml:space="preserve">741 750 (Семьсот сорок одна тысяча семьсот пятьдесят) рублей;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Лот № 4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адрес</w:t>
      </w:r>
      <w:r>
        <w:rPr>
          <w:color w:val="000000"/>
          <w:sz w:val="20"/>
          <w:szCs w:val="20"/>
        </w:rPr>
        <w:t xml:space="preserve">: Российская Федерация, Костромская область, городской округ город Кострома, город Кострома, поселок Васильевское, земельный участок 27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площадь: 730 кв</w:t>
      </w:r>
      <w:r>
        <w:rPr>
          <w:sz w:val="20"/>
          <w:szCs w:val="20"/>
        </w:rPr>
        <w:t xml:space="preserve">.м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кадастровый номер: 44:27:070601:2321;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категория земель: земли населенных пунктов;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- виды ра</w:t>
      </w:r>
      <w:r>
        <w:rPr>
          <w:sz w:val="20"/>
          <w:szCs w:val="20"/>
        </w:rPr>
        <w:t xml:space="preserve">зрешенного испол</w:t>
      </w:r>
      <w:r>
        <w:rPr>
          <w:sz w:val="20"/>
          <w:szCs w:val="20"/>
        </w:rPr>
        <w:t xml:space="preserve">ьзов</w:t>
      </w:r>
      <w:r>
        <w:rPr>
          <w:sz w:val="20"/>
          <w:szCs w:val="20"/>
        </w:rPr>
        <w:t xml:space="preserve">ания: для индивидуального жилищного строительства;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-т</w:t>
      </w:r>
      <w:r>
        <w:rPr>
          <w:sz w:val="20"/>
          <w:szCs w:val="20"/>
        </w:rPr>
        <w:t xml:space="preserve">ерриториальная зо</w:t>
      </w:r>
      <w:r>
        <w:rPr>
          <w:sz w:val="20"/>
          <w:szCs w:val="20"/>
        </w:rPr>
        <w:t xml:space="preserve">н</w:t>
      </w:r>
      <w:r>
        <w:rPr>
          <w:sz w:val="20"/>
          <w:szCs w:val="20"/>
        </w:rPr>
        <w:t xml:space="preserve">а:</w:t>
      </w:r>
      <w:r>
        <w:rPr>
          <w:sz w:val="20"/>
          <w:szCs w:val="20"/>
        </w:rPr>
        <w:t xml:space="preserve"> з</w:t>
      </w:r>
      <w:r>
        <w:rPr>
          <w:sz w:val="20"/>
          <w:szCs w:val="20"/>
        </w:rPr>
        <w:t xml:space="preserve">она застройки малоэтажными жилыми домами (до 4 этажей, включая мансардный) Ж-2</w:t>
      </w:r>
      <w:r>
        <w:rPr>
          <w:sz w:val="20"/>
          <w:szCs w:val="20"/>
        </w:rPr>
        <w:t xml:space="preserve">;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firstLine="567"/>
        <w:jc w:val="both"/>
        <w:rPr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  <w:t xml:space="preserve">-</w:t>
      </w: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обременения и ограничен</w:t>
      </w:r>
      <w:r>
        <w:rPr>
          <w:sz w:val="20"/>
          <w:szCs w:val="20"/>
        </w:rPr>
        <w:t xml:space="preserve">ия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  <w:t xml:space="preserve"> земельный участок расположен</w:t>
      </w:r>
      <w:r>
        <w:rPr>
          <w:sz w:val="20"/>
          <w:szCs w:val="20"/>
        </w:rPr>
        <w:t xml:space="preserve"> в границах территории, ограниченной улицей Усадебной и проездом Васильевс</w:t>
      </w:r>
      <w:r>
        <w:rPr>
          <w:sz w:val="20"/>
          <w:szCs w:val="20"/>
        </w:rPr>
        <w:t xml:space="preserve">ким, в отношении которой постановлением Администрации города Костромы от 23 марта 2026 года № 534 утверждена документация по планировке территории в виде проекта планировки территории с прпоектом межевания территории в составе проекта планировки территории</w:t>
      </w:r>
      <w:r>
        <w:rPr>
          <w:sz w:val="20"/>
          <w:szCs w:val="20"/>
        </w:rPr>
        <w:t xml:space="preserve">, в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sz w:val="20"/>
          <w:szCs w:val="20"/>
        </w:rPr>
        <w:t xml:space="preserve">подзонах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приаэродромной</w:t>
      </w:r>
      <w:r>
        <w:rPr>
          <w:sz w:val="20"/>
          <w:szCs w:val="20"/>
        </w:rPr>
        <w:t xml:space="preserve"> территории аэродрома Кострома (</w:t>
      </w:r>
      <w:r>
        <w:rPr>
          <w:sz w:val="20"/>
          <w:szCs w:val="20"/>
        </w:rPr>
        <w:t xml:space="preserve">Сокеркино</w:t>
      </w:r>
      <w:r>
        <w:rPr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</w:t>
      </w:r>
      <w:r>
        <w:rPr>
          <w:sz w:val="20"/>
          <w:szCs w:val="20"/>
        </w:rPr>
        <w:t xml:space="preserve">3); охранная зона инженерных коммуникаций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44:0</w:t>
      </w:r>
      <w:r>
        <w:rPr>
          <w:sz w:val="20"/>
          <w:szCs w:val="20"/>
        </w:rPr>
        <w:t xml:space="preserve">0-6.638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расположен в зоне регулирования застройки и хозяйственной деятельности среднего плана районного уровня ЗРЗ (Л)-12 объекта культурного наследия регионального значения «Усадьба Васильевское» Карцевых (Чумаковых)», </w:t>
      </w:r>
      <w:r>
        <w:rPr>
          <w:sz w:val="20"/>
          <w:szCs w:val="20"/>
        </w:rPr>
        <w:t xml:space="preserve">X</w:t>
      </w:r>
      <w:r>
        <w:rPr>
          <w:sz w:val="20"/>
          <w:szCs w:val="20"/>
        </w:rPr>
        <w:t xml:space="preserve">I</w:t>
      </w:r>
      <w:r>
        <w:rPr>
          <w:sz w:val="20"/>
          <w:szCs w:val="20"/>
        </w:rPr>
        <w:t xml:space="preserve">X в. </w:t>
      </w:r>
      <w:r>
        <w:rPr>
          <w:sz w:val="20"/>
          <w:szCs w:val="20"/>
        </w:rPr>
        <w:t xml:space="preserve">(зона с особыми условиями использования территории с реестровым номером </w:t>
      </w:r>
      <w:r>
        <w:rPr>
          <w:sz w:val="20"/>
          <w:szCs w:val="20"/>
        </w:rPr>
        <w:t xml:space="preserve">44:27</w:t>
      </w:r>
      <w:r>
        <w:rPr>
          <w:sz w:val="20"/>
          <w:szCs w:val="20"/>
        </w:rPr>
        <w:t xml:space="preserve">-6.7807</w:t>
      </w:r>
      <w:r>
        <w:rPr>
          <w:sz w:val="20"/>
          <w:szCs w:val="20"/>
        </w:rPr>
        <w:t xml:space="preserve">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14:ligatures w14:val="none"/>
        </w:rPr>
      </w:r>
      <w:r>
        <w:rPr>
          <w14:ligatures w14:val="none"/>
        </w:rPr>
      </w:r>
    </w:p>
    <w:p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параметры разрешенного строительства: максимальный процент з</w:t>
      </w:r>
      <w:r>
        <w:rPr>
          <w:sz w:val="20"/>
          <w:szCs w:val="20"/>
        </w:rPr>
        <w:t xml:space="preserve">астройки земельного участка – 25; предельная высота зданий – </w:t>
      </w:r>
      <w:r>
        <w:rPr>
          <w:sz w:val="20"/>
          <w:szCs w:val="20"/>
        </w:rPr>
        <w:t xml:space="preserve">предельная </w:t>
      </w:r>
      <w:r>
        <w:rPr>
          <w:sz w:val="20"/>
          <w:szCs w:val="20"/>
        </w:rPr>
        <w:t xml:space="preserve">высота до </w:t>
      </w:r>
      <w:r>
        <w:rPr>
          <w:sz w:val="20"/>
          <w:szCs w:val="20"/>
        </w:rPr>
        <w:t xml:space="preserve">обреза </w:t>
      </w:r>
      <w:r>
        <w:rPr>
          <w:sz w:val="20"/>
          <w:szCs w:val="20"/>
        </w:rPr>
        <w:t xml:space="preserve">карниза </w:t>
      </w:r>
      <w:r>
        <w:rPr>
          <w:sz w:val="20"/>
          <w:szCs w:val="20"/>
        </w:rPr>
        <w:t xml:space="preserve">(максимальная</w:t>
      </w:r>
      <w:r>
        <w:rPr>
          <w:sz w:val="20"/>
          <w:szCs w:val="20"/>
        </w:rPr>
        <w:t xml:space="preserve">) - 8,67 м </w:t>
      </w:r>
      <w:r>
        <w:rPr>
          <w:sz w:val="20"/>
          <w:szCs w:val="20"/>
        </w:rPr>
        <w:t xml:space="preserve">(высотный параметр установлен до отметки обрезов карнизов скатных кровель/парапетов плоских кровель и является величиной постоянной)</w:t>
      </w:r>
      <w:r>
        <w:rPr>
          <w:sz w:val="20"/>
          <w:szCs w:val="20"/>
        </w:rPr>
        <w:t xml:space="preserve">; минимальный отступ от границ земельного участка – 3 м (о</w:t>
      </w:r>
      <w:r>
        <w:rPr>
          <w:sz w:val="20"/>
          <w:szCs w:val="20"/>
        </w:rPr>
        <w:t xml:space="preserve">тступы для объектов капитального строительства и реконструкции на территориях, </w:t>
      </w:r>
      <w:r>
        <w:rPr>
          <w:sz w:val="20"/>
          <w:szCs w:val="20"/>
        </w:rPr>
        <w:t xml:space="preserve">примыкающих к главной въездной дороге в усадьбу, строго по линиям застройки, формируемым </w:t>
      </w:r>
      <w:r>
        <w:rPr>
          <w:sz w:val="20"/>
          <w:szCs w:val="20"/>
        </w:rPr>
        <w:t xml:space="preserve">существующими домами пос. Васильевское N 5 и N 6 с севера и N 9, 9а, 8 с юга от въезда)</w:t>
      </w:r>
      <w:r>
        <w:rPr>
          <w:sz w:val="20"/>
          <w:szCs w:val="20"/>
        </w:rPr>
        <w:t xml:space="preserve">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информация о возможности подключения (технологич</w:t>
      </w:r>
      <w:r>
        <w:rPr>
          <w:sz w:val="20"/>
          <w:szCs w:val="20"/>
          <w:highlight w:val="white"/>
        </w:rPr>
        <w:t xml:space="preserve">еского присоединения): водоснабжение, водоотведение, ливневая канализация от МУП города Костромы «</w:t>
      </w:r>
      <w:r>
        <w:rPr>
          <w:sz w:val="20"/>
          <w:szCs w:val="20"/>
          <w:highlight w:val="white"/>
        </w:rPr>
        <w:t xml:space="preserve">Костромагорводоканал</w:t>
      </w:r>
      <w:r>
        <w:rPr>
          <w:sz w:val="20"/>
          <w:szCs w:val="20"/>
          <w:highlight w:val="white"/>
        </w:rPr>
        <w:t xml:space="preserve">» от 08.07.2026</w:t>
      </w:r>
      <w:r>
        <w:rPr>
          <w:sz w:val="20"/>
          <w:szCs w:val="20"/>
          <w:highlight w:val="white"/>
        </w:rPr>
        <w:br/>
        <w:t xml:space="preserve">№ исх.02.11/4565д, от 08.07.2026 № исх.02.11/4562д; газоснабжение от ООО «Газпром газораспределение Кострома» от 07.07.2026</w:t>
      </w:r>
      <w:r>
        <w:rPr>
          <w:sz w:val="20"/>
          <w:szCs w:val="20"/>
          <w:highlight w:val="white"/>
        </w:rPr>
        <w:t xml:space="preserve"> № ИС-15/3517, от МУП г</w:t>
      </w:r>
      <w:r>
        <w:rPr>
          <w:sz w:val="20"/>
          <w:szCs w:val="20"/>
          <w:highlight w:val="white"/>
        </w:rPr>
        <w:t xml:space="preserve">.К</w:t>
      </w:r>
      <w:r>
        <w:rPr>
          <w:sz w:val="20"/>
          <w:szCs w:val="20"/>
          <w:highlight w:val="white"/>
        </w:rPr>
        <w:t xml:space="preserve">остромы «Городские сети» от 09.07.2026 № 13-01/02986; </w:t>
      </w:r>
      <w:r>
        <w:rPr>
          <w:sz w:val="20"/>
          <w:szCs w:val="20"/>
          <w:highlight w:val="white"/>
        </w:rPr>
        <w:t xml:space="preserve">от ПАО «ТГК-2» от 16.07.2026 № 4201/908-2026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- начальная цена земельного участк</w:t>
      </w:r>
      <w:r>
        <w:rPr>
          <w:sz w:val="20"/>
          <w:szCs w:val="20"/>
          <w:highlight w:val="white"/>
        </w:rPr>
        <w:t xml:space="preserve">а:</w:t>
      </w:r>
      <w:r>
        <w:rPr>
          <w:sz w:val="20"/>
          <w:szCs w:val="20"/>
          <w:highlight w:val="white"/>
        </w:rPr>
        <w:t xml:space="preserve"> 2 967 000</w:t>
      </w:r>
      <w:r>
        <w:rPr>
          <w:sz w:val="20"/>
          <w:szCs w:val="20"/>
          <w:highlight w:val="white"/>
        </w:rPr>
        <w:t xml:space="preserve"> (Два миллиона девятьсот шестьдесят семь тысяч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шаг аукци</w:t>
      </w:r>
      <w:r>
        <w:rPr>
          <w:sz w:val="20"/>
          <w:szCs w:val="20"/>
          <w:highlight w:val="white"/>
        </w:rPr>
        <w:t xml:space="preserve">она: </w:t>
      </w:r>
      <w:r>
        <w:rPr>
          <w:sz w:val="20"/>
          <w:szCs w:val="20"/>
          <w:highlight w:val="white"/>
        </w:rPr>
        <w:t xml:space="preserve">89 010</w:t>
      </w:r>
      <w:r>
        <w:rPr>
          <w:sz w:val="20"/>
          <w:szCs w:val="20"/>
          <w:highlight w:val="white"/>
        </w:rPr>
        <w:t xml:space="preserve"> (Восемьсот девять тысяч десять</w:t>
      </w:r>
      <w:r>
        <w:rPr>
          <w:sz w:val="20"/>
          <w:szCs w:val="20"/>
          <w:highlight w:val="white"/>
        </w:rPr>
        <w:t xml:space="preserve">) рублей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размер задатка: </w:t>
      </w:r>
      <w:r>
        <w:rPr>
          <w:sz w:val="20"/>
          <w:szCs w:val="20"/>
          <w:highlight w:val="white"/>
        </w:rPr>
        <w:t xml:space="preserve">741 750 (Семьсот сорок одна тысяча семьсот пятьдесят) рублей;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567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-д</w:t>
      </w:r>
      <w:r>
        <w:rPr>
          <w:sz w:val="20"/>
          <w:szCs w:val="20"/>
          <w:highlight w:val="white"/>
        </w:rPr>
        <w:t xml:space="preserve">ата размещения извещения о предоставлении земельного участка для индивидуального жилищного строительства - 02.07.2026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4</w:t>
      </w:r>
      <w:r>
        <w:rPr>
          <w:sz w:val="20"/>
          <w:szCs w:val="20"/>
          <w:highlight w:val="white"/>
        </w:rPr>
        <w:t xml:space="preserve">. Организатор аукц</w:t>
      </w:r>
      <w:r>
        <w:rPr>
          <w:sz w:val="20"/>
          <w:szCs w:val="20"/>
          <w:highlight w:val="white"/>
        </w:rPr>
        <w:t xml:space="preserve">иона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</w:t>
      </w:r>
      <w:r>
        <w:rPr>
          <w:sz w:val="20"/>
          <w:szCs w:val="20"/>
          <w:highlight w:val="white"/>
        </w:rPr>
        <w:t xml:space="preserve">e-mail</w:t>
      </w:r>
      <w:r>
        <w:rPr>
          <w:sz w:val="20"/>
          <w:szCs w:val="20"/>
          <w:highlight w:val="white"/>
        </w:rPr>
        <w:t xml:space="preserve">: uizo@gradkostroma.ru (далее – организатор</w:t>
      </w:r>
      <w:r>
        <w:rPr>
          <w:sz w:val="20"/>
          <w:szCs w:val="20"/>
          <w:highlight w:val="white"/>
        </w:rPr>
        <w:t xml:space="preserve">).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5</w:t>
      </w:r>
      <w:r>
        <w:rPr>
          <w:sz w:val="20"/>
          <w:szCs w:val="20"/>
          <w:highlight w:val="white"/>
        </w:rPr>
        <w:t xml:space="preserve">. Для участия в аукционе заявители представляют в установленный в извещении о проведен</w:t>
      </w:r>
      <w:r>
        <w:rPr>
          <w:sz w:val="20"/>
          <w:szCs w:val="20"/>
          <w:highlight w:val="white"/>
        </w:rPr>
        <w:t xml:space="preserve">ии ау</w:t>
      </w:r>
      <w:r>
        <w:rPr>
          <w:sz w:val="20"/>
          <w:szCs w:val="20"/>
          <w:highlight w:val="white"/>
        </w:rPr>
        <w:t xml:space="preserve">кциона срок следующие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 заявка </w:t>
      </w:r>
      <w:r>
        <w:rPr>
          <w:sz w:val="20"/>
          <w:szCs w:val="20"/>
          <w:highlight w:val="white"/>
        </w:rPr>
        <w:t xml:space="preserve">на участие в аукционе по установленной в извещении о проведении</w:t>
      </w:r>
      <w:r>
        <w:rPr>
          <w:sz w:val="20"/>
          <w:szCs w:val="20"/>
          <w:highlight w:val="white"/>
        </w:rPr>
        <w:t xml:space="preserve"> аукциона форме с указанием банковских реквизитов счета для возврата задатка (Приложение 1);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- копии документов, удостоверяющих личность заявителя (для граждан)</w:t>
      </w:r>
      <w:r>
        <w:rPr>
          <w:sz w:val="20"/>
          <w:szCs w:val="20"/>
          <w:highlight w:val="white"/>
        </w:rPr>
        <w:t xml:space="preserve">;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-надлежащим образом за</w:t>
      </w:r>
      <w:r>
        <w:rPr>
          <w:sz w:val="20"/>
          <w:szCs w:val="20"/>
          <w:highlight w:val="white"/>
        </w:rPr>
        <w:t xml:space="preserve">веренный перевод </w:t>
      </w:r>
      <w:r>
        <w:rPr>
          <w:sz w:val="20"/>
          <w:szCs w:val="20"/>
          <w:highlight w:val="white"/>
        </w:rPr>
        <w:t xml:space="preserve"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r>
        <w:rPr>
          <w:sz w:val="20"/>
          <w:szCs w:val="20"/>
          <w:highlight w:val="white"/>
        </w:rPr>
        <w:t xml:space="preserve">, если заявителем является иностранное юридическое ли</w:t>
      </w:r>
      <w:r>
        <w:rPr>
          <w:sz w:val="20"/>
          <w:szCs w:val="20"/>
          <w:highlight w:val="white"/>
        </w:rPr>
        <w:t xml:space="preserve">цо.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highlight w:val="white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</w:t>
      </w:r>
      <w:r>
        <w:rPr>
          <w:sz w:val="20"/>
          <w:szCs w:val="20"/>
          <w:highlight w:val="white"/>
        </w:rPr>
        <w:t xml:space="preserve"> заявителем денежных средств в </w:t>
      </w:r>
      <w:r>
        <w:rPr>
          <w:sz w:val="20"/>
          <w:szCs w:val="20"/>
          <w:highlight w:val="white"/>
        </w:rPr>
        <w:t xml:space="preserve">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</w:t>
      </w:r>
      <w:r>
        <w:rPr>
          <w:sz w:val="20"/>
          <w:szCs w:val="20"/>
          <w:highlight w:val="white"/>
        </w:rPr>
        <w:t xml:space="preserve">тора электронной площадки признается заключением соглашения</w:t>
      </w:r>
      <w:r>
        <w:rPr>
          <w:sz w:val="20"/>
          <w:szCs w:val="20"/>
          <w:highlight w:val="white"/>
        </w:rPr>
        <w:t xml:space="preserve"> о задатке.</w:t>
      </w:r>
      <w:r>
        <w:rPr>
          <w:sz w:val="20"/>
          <w:szCs w:val="20"/>
          <w:highlight w:val="white"/>
          <w14:ligatures w14:val="none"/>
        </w:rPr>
      </w:r>
      <w:r>
        <w:rPr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white"/>
        </w:rPr>
        <w:t xml:space="preserve">Заявка на участие в электронном аукционе с указанием </w:t>
      </w:r>
      <w:r>
        <w:rPr>
          <w:sz w:val="20"/>
          <w:szCs w:val="20"/>
        </w:rPr>
        <w:t xml:space="preserve">банковских реквизитов счета для возврата задатка направляется оператору электронной площадки </w:t>
      </w:r>
      <w:r>
        <w:rPr>
          <w:rFonts w:eastAsia="Calibri"/>
          <w:sz w:val="20"/>
          <w:szCs w:val="20"/>
        </w:rPr>
        <w:t xml:space="preserve">на сайте </w:t>
      </w:r>
      <w:hyperlink r:id="rId9" w:tooltip="https://www.rts-tender.ru/" w:history="1">
        <w:r>
          <w:rPr>
            <w:rStyle w:val="766"/>
            <w:rFonts w:eastAsia="Calibri"/>
            <w:sz w:val="20"/>
            <w:szCs w:val="20"/>
          </w:rPr>
          <w:t xml:space="preserve">https://www.rts-tender.ru/</w:t>
        </w:r>
      </w:hyperlink>
      <w:r>
        <w:rPr>
          <w:rFonts w:eastAsia="Calibri"/>
          <w:sz w:val="20"/>
          <w:szCs w:val="20"/>
        </w:rPr>
        <w:t xml:space="preserve"> (ООО «РТС-тендер») </w:t>
      </w:r>
      <w:r>
        <w:rPr>
          <w:sz w:val="20"/>
          <w:szCs w:val="20"/>
        </w:rPr>
        <w:t xml:space="preserve">в форме электронного документа с приложением документов. Заявка на участие в электронном аукционе, а также прилагаемые к ней документы подписываются усиленной квали</w:t>
      </w:r>
      <w:r>
        <w:rPr>
          <w:sz w:val="20"/>
          <w:szCs w:val="20"/>
        </w:rPr>
        <w:t xml:space="preserve">фицированной электронной подписью заявителя.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ия.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в течение трех рабочих дней со дня подписания протокола о результатах электронного аукциона.</w:t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Calibri"/>
          <w:sz w:val="20"/>
          <w:szCs w:val="20"/>
          <w:lang w:eastAsia="ru-RU"/>
          <w14:ligatures w14:val="none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Заявитель не допускается к уч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непоступление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подача заявки на участие в аукционе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 w:eastAsia="Calibri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заявителя, являющегося юридическим лицом, в предусмотренном реестре недобро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совестных участников аукциона.</w:t>
      </w:r>
      <w:r>
        <w:rPr>
          <w:rFonts w:ascii="Times New Roman" w:hAnsi="Times New Roman" w:eastAsia="Calibri"/>
          <w:sz w:val="20"/>
          <w:szCs w:val="20"/>
        </w:rPr>
      </w:r>
      <w:r>
        <w:rPr>
          <w:rFonts w:ascii="Times New Roman" w:hAnsi="Times New Roman" w:eastAsia="Calibri"/>
          <w:sz w:val="20"/>
          <w:szCs w:val="20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начала подачи заявок: 28 сентября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05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16 октября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2026 года в 18 час 00 мин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6. </w:t>
      </w:r>
      <w:r>
        <w:rPr>
          <w:b/>
          <w:sz w:val="20"/>
          <w:szCs w:val="20"/>
          <w:shd w:val="clear" w:color="auto" w:fill="ffffff"/>
        </w:rPr>
        <w:t xml:space="preserve">Срок, место и порядок предоставления и</w:t>
      </w:r>
      <w:r>
        <w:rPr>
          <w:b/>
          <w:sz w:val="20"/>
          <w:szCs w:val="20"/>
          <w:shd w:val="clear" w:color="auto" w:fill="ffffff"/>
        </w:rPr>
        <w:t xml:space="preserve">нформационного сообщения</w:t>
      </w:r>
      <w:r>
        <w:rPr>
          <w:sz w:val="20"/>
          <w:szCs w:val="20"/>
          <w:shd w:val="clear" w:color="auto" w:fill="ffffff"/>
        </w:rPr>
        <w:t xml:space="preserve">, электронный адрес сайта в информационно-телекоммуникационной сети Интернет </w:t>
      </w:r>
      <w:hyperlink r:id="rId10" w:tooltip="http://www.rts-tender.ru/" w:history="1">
        <w:r>
          <w:rPr>
            <w:rStyle w:val="766"/>
            <w:sz w:val="20"/>
            <w:szCs w:val="20"/>
            <w:lang w:val="en-US"/>
          </w:rPr>
          <w:t xml:space="preserve">www</w:t>
        </w:r>
        <w:r>
          <w:rPr>
            <w:rStyle w:val="766"/>
            <w:sz w:val="20"/>
            <w:szCs w:val="20"/>
          </w:rPr>
          <w:t xml:space="preserve">. </w:t>
        </w:r>
        <w:r>
          <w:rPr>
            <w:rStyle w:val="766"/>
            <w:sz w:val="20"/>
            <w:szCs w:val="20"/>
            <w:lang w:val="en-US"/>
          </w:rPr>
          <w:t xml:space="preserve">i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rts</w:t>
        </w:r>
        <w:r>
          <w:rPr>
            <w:rStyle w:val="766"/>
            <w:sz w:val="20"/>
            <w:szCs w:val="20"/>
          </w:rPr>
          <w:t xml:space="preserve">-</w:t>
        </w:r>
        <w:r>
          <w:rPr>
            <w:rStyle w:val="766"/>
            <w:sz w:val="20"/>
            <w:szCs w:val="20"/>
            <w:lang w:val="en-US"/>
          </w:rPr>
          <w:t xml:space="preserve">tender</w:t>
        </w:r>
        <w:r>
          <w:rPr>
            <w:rStyle w:val="766"/>
            <w:sz w:val="20"/>
            <w:szCs w:val="20"/>
          </w:rPr>
          <w:t xml:space="preserve">.</w:t>
        </w:r>
        <w:r>
          <w:rPr>
            <w:rStyle w:val="766"/>
            <w:sz w:val="20"/>
            <w:szCs w:val="20"/>
            <w:lang w:val="en-US"/>
          </w:rPr>
          <w:t xml:space="preserve">ru</w:t>
        </w:r>
      </w:hyperlink>
      <w:r>
        <w:rPr>
          <w:sz w:val="20"/>
          <w:szCs w:val="20"/>
        </w:rPr>
        <w:t xml:space="preserve">  (ООО «РТС-тендер»)</w:t>
      </w:r>
      <w:r>
        <w:rPr>
          <w:sz w:val="20"/>
          <w:szCs w:val="20"/>
          <w:shd w:val="clear" w:color="auto" w:fill="ffffff"/>
        </w:rPr>
        <w:t xml:space="preserve">, на котором размещается информационное сооб</w:t>
      </w:r>
      <w:r>
        <w:rPr>
          <w:sz w:val="20"/>
          <w:szCs w:val="20"/>
          <w:shd w:val="clear" w:color="auto" w:fill="ffffff"/>
        </w:rPr>
        <w:t xml:space="preserve">щение: информационное сообщение размещается на официальных сайтах торгов и на электронной площадке. С информационным сообщением можно ознакомиться </w:t>
      </w:r>
      <w:r>
        <w:rPr>
          <w:sz w:val="20"/>
          <w:szCs w:val="20"/>
          <w:shd w:val="clear" w:color="auto" w:fill="ffffff"/>
        </w:rPr>
        <w:t xml:space="preserve">с даты размещения</w:t>
      </w:r>
      <w:r>
        <w:rPr>
          <w:sz w:val="20"/>
          <w:szCs w:val="20"/>
          <w:shd w:val="clear" w:color="auto" w:fill="ffffff"/>
        </w:rPr>
        <w:t xml:space="preserve"> информационного сообщения на официальных сайтах: на официальном сайте Российской Федерации </w:t>
      </w:r>
      <w:r>
        <w:rPr>
          <w:sz w:val="20"/>
          <w:szCs w:val="20"/>
          <w:shd w:val="clear" w:color="auto" w:fill="ffffff"/>
        </w:rPr>
        <w:t xml:space="preserve">для размещения информации о проведении торгов, определенном Правительством Российской Федерации, на официальном сайте Администрации города Костромы,  а также на электронной площадке www.rts-tender.ru до даты окончания приема заявок.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7. </w:t>
      </w:r>
      <w:r>
        <w:rPr>
          <w:b/>
          <w:sz w:val="20"/>
          <w:szCs w:val="20"/>
          <w:shd w:val="clear" w:color="auto" w:fill="ffffff"/>
        </w:rPr>
        <w:t xml:space="preserve">Порядок внесения и в</w:t>
      </w:r>
      <w:r>
        <w:rPr>
          <w:b/>
          <w:sz w:val="20"/>
          <w:szCs w:val="20"/>
          <w:shd w:val="clear" w:color="auto" w:fill="ffffff"/>
        </w:rPr>
        <w:t xml:space="preserve">озврата задатка, банковские реквизиты счета для перечисления задатка.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shd w:val="clear" w:color="auto" w:fill="ffffff"/>
        </w:rPr>
        <w:t xml:space="preserve">Порядок внесения задатка определяется регламентом работы электронной площадки Организатора </w:t>
      </w:r>
      <w:r>
        <w:rPr>
          <w:sz w:val="20"/>
          <w:szCs w:val="20"/>
          <w:shd w:val="clear" w:color="auto" w:fill="ffffff"/>
        </w:rPr>
        <w:t xml:space="preserve">www.rts-tender.ru</w:t>
      </w:r>
      <w:r>
        <w:rPr>
          <w:sz w:val="20"/>
          <w:szCs w:val="20"/>
          <w:shd w:val="clear" w:color="auto" w:fill="ffffff"/>
        </w:rPr>
        <w:t xml:space="preserve">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Для участия в аукционе в электронной форме установлено требование о внесении</w:t>
      </w:r>
      <w:r>
        <w:rPr>
          <w:sz w:val="20"/>
          <w:szCs w:val="20"/>
          <w:lang w:eastAsia="en-US"/>
        </w:rPr>
        <w:t xml:space="preserve"> задатка.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sz w:val="20"/>
          <w:szCs w:val="20"/>
          <w:highlight w:val="none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За</w:t>
      </w:r>
      <w:r>
        <w:rPr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в срок до даты рассмотрения заяв</w:t>
      </w:r>
      <w:r>
        <w:rPr>
          <w:sz w:val="20"/>
          <w:szCs w:val="20"/>
          <w:highlight w:val="white"/>
          <w:lang w:eastAsia="en-US"/>
        </w:rPr>
        <w:t xml:space="preserve">ок</w:t>
      </w:r>
      <w:r>
        <w:rPr>
          <w:sz w:val="20"/>
          <w:szCs w:val="20"/>
          <w:highlight w:val="white"/>
          <w:shd w:val="clear" w:color="auto" w:fill="ffffff"/>
        </w:rPr>
        <w:t xml:space="preserve"> (</w:t>
      </w:r>
      <w:r>
        <w:rPr>
          <w:sz w:val="20"/>
          <w:szCs w:val="20"/>
          <w:highlight w:val="white"/>
          <w:shd w:val="clear" w:color="auto" w:fill="ffffff"/>
        </w:rPr>
        <w:t xml:space="preserve">не позднее: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20 октября</w:t>
      </w:r>
      <w:r>
        <w:rPr>
          <w:b/>
          <w:bCs/>
          <w:sz w:val="20"/>
          <w:szCs w:val="20"/>
          <w:highlight w:val="white"/>
          <w:shd w:val="clear" w:color="auto" w:fill="ffffff"/>
        </w:rPr>
        <w:t xml:space="preserve"> 2</w:t>
      </w:r>
      <w:r>
        <w:rPr>
          <w:b/>
          <w:sz w:val="20"/>
          <w:szCs w:val="20"/>
          <w:highlight w:val="white"/>
          <w:shd w:val="clear" w:color="auto" w:fill="ffffff"/>
        </w:rPr>
        <w:t xml:space="preserve">026 года 10 час. 00 </w:t>
      </w:r>
      <w:r>
        <w:rPr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sz w:val="20"/>
          <w:szCs w:val="20"/>
          <w:highlight w:val="white"/>
          <w:lang w:eastAsia="en-US"/>
        </w:rPr>
        <w:t xml:space="preserve"> </w:t>
      </w:r>
      <w:r>
        <w:rPr>
          <w:sz w:val="20"/>
          <w:szCs w:val="20"/>
          <w:highlight w:val="white"/>
          <w:lang w:eastAsia="en-US"/>
        </w:rPr>
        <w:t xml:space="preserve">в</w:t>
      </w:r>
      <w:r>
        <w:rPr>
          <w:sz w:val="20"/>
          <w:szCs w:val="20"/>
          <w:highlight w:val="white"/>
          <w:lang w:eastAsia="en-US"/>
        </w:rPr>
        <w:t xml:space="preserve"> соо</w:t>
      </w:r>
      <w:r>
        <w:rPr>
          <w:sz w:val="20"/>
          <w:szCs w:val="20"/>
          <w:lang w:eastAsia="en-US"/>
        </w:rPr>
        <w:t xml:space="preserve">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</w:t>
      </w:r>
      <w:r>
        <w:rPr>
          <w:sz w:val="20"/>
          <w:szCs w:val="20"/>
          <w:lang w:eastAsia="en-US"/>
        </w:rPr>
        <w:t xml:space="preserve">ектронной площадке по следующим реквизитам: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Получатель платежа: ООО «РТС-тендер»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Банковские реквизиты: Филиал «Корпоративный» ПАО «</w:t>
      </w:r>
      <w:r>
        <w:rPr>
          <w:sz w:val="20"/>
          <w:szCs w:val="20"/>
          <w:lang w:eastAsia="en-US"/>
        </w:rPr>
        <w:t xml:space="preserve">Совкомбанк</w:t>
      </w:r>
      <w:r>
        <w:rPr>
          <w:sz w:val="20"/>
          <w:szCs w:val="20"/>
          <w:lang w:eastAsia="en-US"/>
        </w:rPr>
        <w:t xml:space="preserve">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БИК 044525360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Расчётный счёт: 40702810512030016362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Корр. счёт 30101810445250000360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ИНН 7710357167 КПП 773001001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Н</w:t>
      </w:r>
      <w:r>
        <w:rPr>
          <w:sz w:val="20"/>
          <w:szCs w:val="20"/>
          <w:lang w:eastAsia="en-US"/>
        </w:rPr>
        <w:t xml:space="preserve">азначение платежа: «Внесение гарантийного обеспечения по Соглашению о внесении гарантийного обеспечения, № аналитического счета, без НДС».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</w:t>
      </w:r>
      <w:r>
        <w:rPr>
          <w:sz w:val="20"/>
          <w:szCs w:val="20"/>
          <w:lang w:eastAsia="en-US"/>
        </w:rPr>
        <w:t xml:space="preserve">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площадке. Основанием для блокирования денежных средств явля</w:t>
      </w:r>
      <w:r>
        <w:rPr>
          <w:sz w:val="20"/>
          <w:szCs w:val="20"/>
          <w:lang w:eastAsia="en-US"/>
        </w:rPr>
        <w:t xml:space="preserve">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В случае если денежных средств на счете Заявит</w:t>
      </w:r>
      <w:r>
        <w:rPr>
          <w:sz w:val="20"/>
          <w:szCs w:val="20"/>
          <w:lang w:eastAsia="en-US"/>
        </w:rPr>
        <w:t xml:space="preserve">еля недостаточно, Оператором электронной площадки Заявка не принимается.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Заявителю необходимо обеспечить на своем аналитическом счете наличие денежных сре</w:t>
      </w:r>
      <w:r>
        <w:rPr>
          <w:sz w:val="20"/>
          <w:szCs w:val="20"/>
        </w:rPr>
        <w:t xml:space="preserve">дств в р</w:t>
      </w:r>
      <w:r>
        <w:rPr>
          <w:sz w:val="20"/>
          <w:szCs w:val="20"/>
        </w:rPr>
        <w:t xml:space="preserve">азмере</w:t>
      </w:r>
      <w:r>
        <w:rPr>
          <w:sz w:val="20"/>
          <w:szCs w:val="20"/>
        </w:rPr>
        <w:t xml:space="preserve"> задатка для участия в аукционе на дату рассмотрения заявок.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 производится Оператором электронной площадки в </w:t>
      </w:r>
      <w:r>
        <w:rPr>
          <w:sz w:val="20"/>
          <w:szCs w:val="20"/>
          <w:lang w:eastAsia="en-US"/>
        </w:rPr>
        <w:t xml:space="preserve">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отзыва Заявки в соответствии с Регламентом Оператора электронной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</w:t>
      </w:r>
      <w:r>
        <w:rPr>
          <w:sz w:val="20"/>
          <w:szCs w:val="20"/>
          <w:lang w:eastAsia="en-US"/>
        </w:rPr>
        <w:t xml:space="preserve">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Заявителя, не допущенного к участию в аукционе в электронной форме, - в течение 3 (трех) рабочих дней со дня оформления Протокола рассмотрения заявок на участие в аукционе в электронной форме в соответствии с Регламентом Оператора элект</w:t>
      </w:r>
      <w:r>
        <w:rPr>
          <w:sz w:val="20"/>
          <w:szCs w:val="20"/>
          <w:lang w:eastAsia="en-US"/>
        </w:rPr>
        <w:t xml:space="preserve">ронной площадки, </w:t>
      </w:r>
      <w:r>
        <w:rPr>
          <w:sz w:val="20"/>
          <w:szCs w:val="20"/>
          <w:lang w:eastAsia="en-US"/>
        </w:rPr>
        <w:t xml:space="preserve">размещенными</w:t>
      </w:r>
      <w:r>
        <w:rPr>
          <w:sz w:val="20"/>
          <w:szCs w:val="20"/>
          <w:lang w:eastAsia="en-US"/>
        </w:rPr>
        <w:t xml:space="preserve">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-</w:t>
      </w:r>
      <w:r>
        <w:rPr>
          <w:sz w:val="20"/>
          <w:szCs w:val="20"/>
          <w:lang w:eastAsia="en-US"/>
        </w:rPr>
        <w:tab/>
        <w:t xml:space="preserve">для Участников, участвовавших в аукционе в электронной форме, но не победивших в нем, - в течение 3 (трех) рабочих дней со дня подписания Протокола о результатах аукциона в электронной форме в соотве</w:t>
      </w:r>
      <w:r>
        <w:rPr>
          <w:sz w:val="20"/>
          <w:szCs w:val="20"/>
          <w:lang w:eastAsia="en-US"/>
        </w:rPr>
        <w:t xml:space="preserve">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аукциона.</w:t>
      </w:r>
      <w:r>
        <w:rPr>
          <w:sz w:val="20"/>
          <w:szCs w:val="20"/>
          <w:lang w:eastAsia="en-US"/>
        </w:rPr>
        <w:t xml:space="preserve"> Задаток, внесенный таким участником, возвращается ему в течение</w:t>
      </w:r>
      <w:r>
        <w:rPr>
          <w:sz w:val="20"/>
          <w:szCs w:val="20"/>
          <w:lang w:eastAsia="en-US"/>
        </w:rPr>
        <w:t xml:space="preserve"> трех дней со дня подписания договора купли-продажи земельного участка победителем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</w:t>
      </w:r>
      <w:r>
        <w:rPr>
          <w:sz w:val="20"/>
          <w:szCs w:val="20"/>
          <w:lang w:eastAsia="en-US"/>
        </w:rPr>
        <w:t xml:space="preserve">твии с пунктом 13, 14, 20 или 25 </w:t>
      </w:r>
      <w:r>
        <w:rPr>
          <w:sz w:val="20"/>
          <w:szCs w:val="20"/>
        </w:rPr>
        <w:t xml:space="preserve">Земельного кодекса Российской Федерации (далее – Кодекс)</w:t>
      </w:r>
      <w:r>
        <w:rPr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Задатки, внесенные этими лицами, не заключившими в установленном Кодексом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Осмотр земельного участка осуществляется претендентами с</w:t>
      </w:r>
      <w:r>
        <w:rPr>
          <w:sz w:val="20"/>
          <w:szCs w:val="20"/>
        </w:rPr>
        <w:t xml:space="preserve">амостоятельно по месту нахождения участка.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9.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Место, дата, время и порядок определения участников аукцион</w:t>
      </w:r>
      <w:r>
        <w:rPr>
          <w:b/>
          <w:sz w:val="20"/>
          <w:szCs w:val="20"/>
          <w:highlight w:val="white"/>
        </w:rPr>
        <w:t xml:space="preserve">а:</w:t>
      </w:r>
      <w:r>
        <w:rPr>
          <w:b/>
          <w:sz w:val="20"/>
          <w:szCs w:val="20"/>
          <w:highlight w:val="white"/>
        </w:rPr>
        <w:t xml:space="preserve"> 20 октября</w:t>
      </w:r>
      <w:r>
        <w:rPr>
          <w:b/>
          <w:sz w:val="20"/>
          <w:szCs w:val="20"/>
          <w:highlight w:val="white"/>
        </w:rPr>
        <w:t xml:space="preserve"> 2026 года в 10 час</w:t>
      </w:r>
      <w:r>
        <w:rPr>
          <w:b/>
          <w:sz w:val="20"/>
          <w:szCs w:val="20"/>
          <w:highlight w:val="white"/>
        </w:rPr>
        <w:t xml:space="preserve">. </w:t>
      </w:r>
      <w:r>
        <w:rPr>
          <w:b/>
          <w:sz w:val="20"/>
          <w:szCs w:val="20"/>
        </w:rPr>
        <w:t xml:space="preserve">00 мин</w:t>
      </w:r>
      <w:r>
        <w:rPr>
          <w:sz w:val="20"/>
          <w:szCs w:val="20"/>
        </w:rPr>
        <w:t xml:space="preserve">. На электронной площадке </w:t>
      </w:r>
      <w:hyperlink r:id="rId11" w:tooltip="http://www.rts-tender.ru/" w:history="1">
        <w:r>
          <w:rPr>
            <w:rStyle w:val="766"/>
            <w:sz w:val="20"/>
            <w:szCs w:val="20"/>
          </w:rPr>
          <w:t xml:space="preserve">www.rts-tender.ru</w:t>
        </w:r>
      </w:hyperlink>
      <w:r>
        <w:rPr>
          <w:sz w:val="20"/>
          <w:szCs w:val="20"/>
        </w:rPr>
        <w:t xml:space="preserve"> (ООО «РТС-тендер»).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Определение уча</w:t>
      </w:r>
      <w:r>
        <w:rPr>
          <w:sz w:val="20"/>
          <w:szCs w:val="20"/>
        </w:rPr>
        <w:t xml:space="preserve">стников аукциона проводится без участия заявителей (претендентов).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Заявитель, допущенный к участию в аукционе, приобретает статус уч</w:t>
      </w:r>
      <w:r>
        <w:rPr>
          <w:sz w:val="20"/>
          <w:szCs w:val="20"/>
        </w:rPr>
        <w:t xml:space="preserve">астника аукциона с момента оформления организатором протокола рассмотрения заявок на участ</w:t>
      </w:r>
      <w:r>
        <w:rPr>
          <w:sz w:val="20"/>
          <w:szCs w:val="20"/>
        </w:rPr>
        <w:t xml:space="preserve">ие в аукционе.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>
        <w:rPr>
          <w:b/>
          <w:bCs/>
          <w:sz w:val="20"/>
          <w:szCs w:val="20"/>
        </w:rPr>
        <w:t xml:space="preserve">Дата, место, время и порядок проведения аукциона: 21 октября</w:t>
      </w:r>
      <w:r>
        <w:rPr>
          <w:b/>
          <w:bCs/>
          <w:sz w:val="20"/>
          <w:szCs w:val="20"/>
          <w:highlight w:val="white"/>
        </w:rPr>
        <w:t xml:space="preserve"> 2026 года в 10 ча</w:t>
      </w:r>
      <w:r>
        <w:rPr>
          <w:b/>
          <w:bCs/>
          <w:sz w:val="20"/>
          <w:szCs w:val="20"/>
          <w:highlight w:val="white"/>
        </w:rPr>
        <w:t xml:space="preserve">с. 00 мин. </w:t>
      </w:r>
      <w:r>
        <w:rPr>
          <w:sz w:val="20"/>
          <w:szCs w:val="20"/>
          <w:highlight w:val="white"/>
        </w:rPr>
        <w:t xml:space="preserve">на </w:t>
      </w:r>
      <w:r>
        <w:rPr>
          <w:sz w:val="20"/>
          <w:szCs w:val="20"/>
        </w:rPr>
        <w:t xml:space="preserve">электронной площадке </w:t>
      </w:r>
      <w:hyperlink r:id="rId12" w:tooltip="https://www.rts-tender.ru/" w:history="1">
        <w:r>
          <w:rPr>
            <w:color w:val="0000ff"/>
            <w:sz w:val="20"/>
            <w:szCs w:val="20"/>
            <w:u w:val="single"/>
          </w:rPr>
          <w:t xml:space="preserve">https://www.rts-tender.ru/</w:t>
        </w:r>
      </w:hyperlink>
      <w:r>
        <w:rPr>
          <w:sz w:val="20"/>
          <w:szCs w:val="20"/>
        </w:rPr>
        <w:t xml:space="preserve"> (ООО «РТС-тендер») в соответствии с регламентом </w:t>
      </w:r>
      <w:r>
        <w:rPr>
          <w:sz w:val="20"/>
          <w:szCs w:val="20"/>
        </w:rPr>
        <w:t xml:space="preserve">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Победителем признается участник, предложивший в ходе аукциона наибольшую</w:t>
      </w:r>
      <w:r>
        <w:rPr>
          <w:sz w:val="20"/>
          <w:szCs w:val="20"/>
        </w:rPr>
        <w:t xml:space="preserve">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12. </w:t>
      </w:r>
      <w:r>
        <w:rPr>
          <w:color w:val="000000"/>
          <w:sz w:val="20"/>
          <w:szCs w:val="20"/>
        </w:rPr>
        <w:t xml:space="preserve">П</w:t>
      </w:r>
      <w:r>
        <w:rPr>
          <w:color w:val="000000"/>
          <w:sz w:val="20"/>
          <w:szCs w:val="20"/>
        </w:rPr>
        <w:t xml:space="preserve">о результатам проведения электронного аукциона договор купли - продажи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квалифицированной электронной подписью стор</w:t>
      </w:r>
      <w:r>
        <w:rPr>
          <w:color w:val="000000"/>
          <w:sz w:val="20"/>
          <w:szCs w:val="20"/>
        </w:rPr>
        <w:t xml:space="preserve">он такого договора.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Не допускается заключение договора </w:t>
      </w:r>
      <w:r>
        <w:rPr>
          <w:sz w:val="20"/>
          <w:szCs w:val="20"/>
        </w:rPr>
        <w:t xml:space="preserve">ранее</w:t>
      </w:r>
      <w:r>
        <w:rPr>
          <w:sz w:val="20"/>
          <w:szCs w:val="20"/>
        </w:rPr>
        <w:t xml:space="preserve"> чем через 10 (десять) дней со дня размещения информации о результатах аукциона на официальном сайте, в том числе договоров, указанных в пунктах 13 и 14 Кодекса.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В случае</w:t>
      </w:r>
      <w:r>
        <w:rPr>
          <w:color w:val="000000"/>
          <w:sz w:val="20"/>
          <w:szCs w:val="20"/>
        </w:rPr>
        <w:t xml:space="preserve">,</w:t>
      </w:r>
      <w:r>
        <w:rPr>
          <w:color w:val="000000"/>
          <w:sz w:val="20"/>
          <w:szCs w:val="20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предложения о цене предмета аукциона, которое предусматривало бы более высокую цену предмета </w:t>
      </w:r>
      <w:r>
        <w:rPr>
          <w:color w:val="000000"/>
          <w:sz w:val="20"/>
          <w:szCs w:val="20"/>
        </w:rPr>
        <w:t xml:space="preserve">аукциона, аукцион признается несостоявшимся.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</w:t>
      </w:r>
      <w:r>
        <w:rPr>
          <w:color w:val="000000"/>
          <w:sz w:val="20"/>
          <w:szCs w:val="20"/>
        </w:rPr>
        <w:t xml:space="preserve">ии ау</w:t>
      </w:r>
      <w:r>
        <w:rPr>
          <w:color w:val="000000"/>
          <w:sz w:val="20"/>
          <w:szCs w:val="20"/>
        </w:rPr>
        <w:t xml:space="preserve">кциона условиям и лицо, подавшее указанную заявку, соответствуют требованиям к участникам аукциона, указанным в и</w:t>
      </w:r>
      <w:r>
        <w:rPr>
          <w:color w:val="000000"/>
          <w:sz w:val="20"/>
          <w:szCs w:val="20"/>
        </w:rPr>
        <w:t xml:space="preserve">звещении о проведении аукциона, Организатор заключает с таким лицом договор купли – продажи земельного участка по начальной цене предмета.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</w:t>
      </w:r>
      <w:r>
        <w:rPr>
          <w:sz w:val="20"/>
          <w:szCs w:val="20"/>
        </w:rPr>
        <w:t xml:space="preserve"> проекта договора купли - продажи земельного участка в пятидневный срок со дня истечения 10 (десяти) дней после размещения информации о результатах аукциона на официальном сайте.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</w:rPr>
        <w:t xml:space="preserve">При этом договор купли - продажи земельного участка заключается по цене, пред</w:t>
      </w:r>
      <w:r>
        <w:rPr>
          <w:sz w:val="20"/>
          <w:szCs w:val="20"/>
        </w:rPr>
        <w:t xml:space="preserve">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</w:t>
      </w:r>
      <w:r>
        <w:rPr>
          <w:sz w:val="20"/>
          <w:szCs w:val="20"/>
          <w:lang w:eastAsia="en-US"/>
        </w:rPr>
        <w:t xml:space="preserve"> купли – продажи земельного участка в соответствии с Кодексом, обязаны подписать договор в течение 10 (десяти) рабочих дней со дня направления им такого договора.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Если договор купли - продажи земельного участка в течение 10 (десяти) рабочих дней со дня нап</w:t>
      </w:r>
      <w:r>
        <w:rPr>
          <w:sz w:val="20"/>
          <w:szCs w:val="20"/>
          <w:lang w:eastAsia="en-US"/>
        </w:rPr>
        <w:t xml:space="preserve">равления победителю аукциона проекта указанного договора не был им подписан и представлен Организатору, Организатор направляет указанный договор участнику аукциона, который сделал предпоследнее предложение о цене предмета аукциона, для их заключения по цен</w:t>
      </w:r>
      <w:r>
        <w:rPr>
          <w:sz w:val="20"/>
          <w:szCs w:val="20"/>
          <w:lang w:eastAsia="en-US"/>
        </w:rPr>
        <w:t xml:space="preserve">е, предложенной таким участником аукциона.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купли - продажи земельного участка, являющегося предметом аукциона, и об иных лицах, с которыми указанный договор заключается в соответствии с п</w:t>
      </w:r>
      <w:r>
        <w:rPr>
          <w:sz w:val="20"/>
          <w:szCs w:val="20"/>
          <w:lang w:eastAsia="en-US"/>
        </w:rPr>
        <w:t xml:space="preserve">унктом 13, 20 или 25 статьи 39.12 Кодекса и которые уклонились от их заключения, Организатор направляет сведения в Федеральную антимонопольную службу России для включения в реестр недобросовестных участников аукциона.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0"/>
          <w:szCs w:val="20"/>
          <w:lang w:eastAsia="en-US"/>
        </w:rPr>
        <w:t xml:space="preserve">В случае</w:t>
      </w:r>
      <w:r>
        <w:rPr>
          <w:sz w:val="20"/>
          <w:szCs w:val="20"/>
          <w:lang w:eastAsia="en-US"/>
        </w:rPr>
        <w:t xml:space="preserve">,</w:t>
      </w:r>
      <w:r>
        <w:rPr>
          <w:sz w:val="20"/>
          <w:szCs w:val="20"/>
          <w:lang w:eastAsia="en-US"/>
        </w:rPr>
        <w:t xml:space="preserve"> если в течение 10 (десяти) рабочих </w:t>
      </w:r>
      <w:r>
        <w:rPr>
          <w:sz w:val="20"/>
          <w:szCs w:val="20"/>
          <w:lang w:eastAsia="en-US"/>
        </w:rPr>
        <w:t xml:space="preserve">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договор, Организатор вправе объявить о проведении повторного аукциона в эл</w:t>
      </w:r>
      <w:r>
        <w:rPr>
          <w:sz w:val="20"/>
          <w:szCs w:val="20"/>
          <w:lang w:eastAsia="en-US"/>
        </w:rPr>
        <w:t xml:space="preserve">ектронной форме или распорядиться земельным участком иным образом в соответствии с Кодексом.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  <w:lang w:eastAsia="en-US"/>
        </w:rPr>
        <w:t xml:space="preserve">13. </w:t>
      </w:r>
      <w:r>
        <w:rPr>
          <w:sz w:val="20"/>
          <w:szCs w:val="20"/>
        </w:rPr>
        <w:t xml:space="preserve">Организатор 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теч</w:t>
      </w:r>
      <w:r>
        <w:rPr>
          <w:sz w:val="20"/>
          <w:szCs w:val="20"/>
        </w:rPr>
        <w:t xml:space="preserve">ение 3 (трех) дней со дня принятия решения об отказе в проведен</w:t>
      </w:r>
      <w:r>
        <w:rPr>
          <w:sz w:val="20"/>
          <w:szCs w:val="20"/>
        </w:rPr>
        <w:t xml:space="preserve">ии ау</w:t>
      </w:r>
      <w:r>
        <w:rPr>
          <w:sz w:val="20"/>
          <w:szCs w:val="20"/>
        </w:rPr>
        <w:t xml:space="preserve">кциона организатор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14. Градостроительные планы земельного участ</w:t>
      </w:r>
      <w:r>
        <w:rPr>
          <w:color w:val="000000"/>
          <w:sz w:val="20"/>
          <w:szCs w:val="20"/>
        </w:rPr>
        <w:t xml:space="preserve">ка от 27.07.2026 № РФ-44-2-01-0-00-2025-0596-0,  от 22.07.2026 № РФ-44-2-01-0-00-2025-0598-0, </w:t>
      </w:r>
      <w:r>
        <w:rPr>
          <w:color w:val="000000"/>
          <w:sz w:val="20"/>
          <w:szCs w:val="20"/>
        </w:rPr>
        <w:t xml:space="preserve">от 27.07.2026 № РФ-44-2-01-0-00-2025-0599-0, </w:t>
      </w:r>
      <w:r>
        <w:rPr>
          <w:color w:val="000000"/>
          <w:sz w:val="20"/>
          <w:szCs w:val="20"/>
        </w:rPr>
        <w:t xml:space="preserve">от 03.08.2026 № РФ-44-2-01-0-00-2025-0638-0</w:t>
      </w:r>
      <w:r>
        <w:rPr>
          <w:color w:val="000000"/>
          <w:sz w:val="20"/>
          <w:szCs w:val="20"/>
        </w:rPr>
        <w:t xml:space="preserve">  являются приложением к настоящему извещению (приложение 3)</w:t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both"/>
        <w:rPr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Ознакомиться с градостроительным планом земельного участка возможно на официальном сайте Российской Феде</w:t>
      </w:r>
      <w:r>
        <w:rPr>
          <w:color w:val="000000"/>
          <w:sz w:val="20"/>
          <w:szCs w:val="20"/>
        </w:rPr>
        <w:t xml:space="preserve">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 на официальном сайте Администрации города Костромы (http://grad.kostroma.gov.</w:t>
      </w:r>
      <w:r>
        <w:rPr>
          <w:color w:val="000000"/>
          <w:sz w:val="20"/>
          <w:szCs w:val="20"/>
        </w:rPr>
        <w:t xml:space="preserve">ru), н</w:t>
      </w:r>
      <w:r>
        <w:rPr>
          <w:sz w:val="20"/>
          <w:szCs w:val="20"/>
          <w:highlight w:val="white"/>
        </w:rPr>
        <w:t xml:space="preserve">а электронной площадке </w:t>
      </w:r>
      <w:hyperlink r:id="rId13" w:tooltip="http://www.rts-tender.ru/" w:history="1">
        <w:r>
          <w:rPr>
            <w:rStyle w:val="766"/>
            <w:sz w:val="20"/>
            <w:szCs w:val="20"/>
            <w:highlight w:val="white"/>
          </w:rPr>
          <w:t xml:space="preserve">www.rts-tender.ru</w:t>
        </w:r>
      </w:hyperlink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</w:rPr>
        <w:t xml:space="preserve">(ООО «РТС-тендер»)      </w:t>
      </w:r>
      <w:r>
        <w:br w:type="page" w:clear="all"/>
      </w:r>
      <w:r>
        <w:rPr>
          <w:color w:val="000000"/>
        </w:rPr>
      </w:r>
      <w:r>
        <w:rPr>
          <w:color w:val="000000"/>
        </w:rPr>
      </w:r>
    </w:p>
    <w:p>
      <w:pPr>
        <w:ind w:firstLine="709"/>
        <w:jc w:val="right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center"/>
        <w:rPr>
          <w:b/>
          <w:sz w:val="22"/>
          <w:szCs w:val="22"/>
          <w:lang w:eastAsia="zh-CN"/>
        </w:rPr>
      </w:pPr>
      <w:r>
        <w:rPr>
          <w:b/>
          <w:lang w:eastAsia="zh-CN"/>
        </w:rPr>
        <w:t xml:space="preserve">ЗАЯВКА </w:t>
      </w:r>
      <w:r>
        <w:rPr>
          <w:b/>
          <w:sz w:val="22"/>
          <w:szCs w:val="22"/>
          <w:lang w:eastAsia="zh-CN"/>
        </w:rPr>
        <w:t xml:space="preserve">НА УЧАСТИЕ В АУКЦИОНЕ В ЭЛЕКТРОННОЙ ФОРМЕ</w:t>
      </w:r>
      <w:r>
        <w:rPr>
          <w:b/>
          <w:sz w:val="22"/>
          <w:szCs w:val="22"/>
          <w:lang w:eastAsia="zh-CN"/>
        </w:rPr>
      </w:r>
      <w:r>
        <w:rPr>
          <w:b/>
          <w:sz w:val="22"/>
          <w:szCs w:val="22"/>
          <w:lang w:eastAsia="zh-CN"/>
        </w:rPr>
      </w:r>
    </w:p>
    <w:p>
      <w:pPr>
        <w:rPr>
          <w:b/>
          <w:sz w:val="2"/>
          <w:szCs w:val="10"/>
          <w:lang w:eastAsia="zh-CN"/>
        </w:rPr>
      </w:pP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  <w:r>
        <w:rPr>
          <w:b/>
          <w:sz w:val="2"/>
          <w:szCs w:val="10"/>
          <w:lang w:eastAsia="zh-CN"/>
        </w:rPr>
      </w:r>
    </w:p>
    <w:p>
      <w:pPr>
        <w:rPr>
          <w:b/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b/>
          <w:sz w:val="19"/>
          <w:szCs w:val="19"/>
          <w:lang w:eastAsia="zh-CN"/>
        </w:rPr>
      </w:r>
      <w:r>
        <w:rPr>
          <w:b/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</w:pPr>
      <w:r>
        <w:rPr>
          <w:b/>
          <w:sz w:val="19"/>
          <w:szCs w:val="19"/>
          <w:lang w:eastAsia="zh-CN"/>
        </w:rPr>
        <w:t xml:space="preserve">Заявитель</w:t>
      </w:r>
      <w:r>
        <w:rPr>
          <w:sz w:val="19"/>
          <w:szCs w:val="19"/>
          <w:lang w:eastAsia="zh-CN"/>
        </w:rPr>
        <w:t xml:space="preserve"> </w:t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rPr>
          <w:sz w:val="19"/>
          <w:szCs w:val="19"/>
          <w:lang w:eastAsia="zh-CN"/>
        </w:rPr>
        <w:pBdr>
          <w:bottom w:val="single" w:color="000000" w:sz="4" w:space="0"/>
        </w:pBdr>
      </w:pP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  <w:r>
        <w:rPr>
          <w:sz w:val="19"/>
          <w:szCs w:val="19"/>
          <w:lang w:eastAsia="zh-CN"/>
        </w:rPr>
      </w:r>
    </w:p>
    <w:p>
      <w:pPr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</w:t>
      </w:r>
      <w:r>
        <w:rPr>
          <w:sz w:val="16"/>
          <w:szCs w:val="18"/>
          <w:lang w:eastAsia="zh-CN"/>
        </w:rPr>
        <w:t xml:space="preserve">(</w:t>
      </w:r>
      <w:r>
        <w:rPr>
          <w:bCs/>
          <w:sz w:val="16"/>
          <w:szCs w:val="18"/>
          <w:lang w:eastAsia="zh-CN"/>
        </w:rPr>
        <w:t xml:space="preserve">Ф.И.О. гражданина</w:t>
      </w:r>
      <w:r>
        <w:rPr>
          <w:sz w:val="16"/>
          <w:szCs w:val="18"/>
          <w:lang w:eastAsia="zh-CN"/>
        </w:rPr>
        <w:t xml:space="preserve">)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tbl>
      <w:tblPr>
        <w:tblW w:w="10496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410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</w:t>
            </w:r>
            <w:r>
              <w:rPr>
                <w:sz w:val="18"/>
                <w:szCs w:val="18"/>
                <w:lang w:eastAsia="zh-CN"/>
              </w:rPr>
              <w:t xml:space="preserve">_______________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ИНН                                                           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rPr>
                <w:rFonts w:eastAsia="Calibri"/>
              </w:rPr>
              <w:pBdr>
                <w:bottom w:val="single" w:color="000000" w:sz="4" w:space="0"/>
              </w:pBdr>
            </w:pPr>
            <w:r>
              <w:rPr>
                <w:b/>
                <w:sz w:val="18"/>
                <w:szCs w:val="18"/>
                <w:lang w:eastAsia="zh-CN"/>
              </w:rPr>
              <w:t xml:space="preserve">Представитель Заявителя</w:t>
            </w:r>
            <w:r>
              <w:rPr>
                <w:b/>
                <w:sz w:val="18"/>
                <w:szCs w:val="18"/>
                <w:vertAlign w:val="superscript"/>
                <w:lang w:eastAsia="zh-CN"/>
              </w:rPr>
              <w:footnoteReference w:id="2"/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center"/>
              <w:rPr>
                <w:b/>
                <w:sz w:val="16"/>
                <w:szCs w:val="18"/>
                <w:lang w:eastAsia="zh-CN"/>
              </w:rPr>
            </w:pPr>
            <w:r>
              <w:rPr>
                <w:b/>
                <w:sz w:val="16"/>
                <w:szCs w:val="18"/>
                <w:lang w:eastAsia="zh-CN"/>
              </w:rPr>
              <w:t xml:space="preserve">(Ф.И.О</w:t>
            </w:r>
            <w:r>
              <w:rPr>
                <w:b/>
                <w:sz w:val="16"/>
                <w:szCs w:val="18"/>
                <w:lang w:eastAsia="zh-CN"/>
              </w:rPr>
              <w:t xml:space="preserve">,)</w:t>
            </w:r>
            <w:r>
              <w:rPr>
                <w:b/>
                <w:sz w:val="16"/>
                <w:szCs w:val="18"/>
                <w:lang w:eastAsia="zh-CN"/>
              </w:rPr>
            </w:r>
            <w:r>
              <w:rPr>
                <w:b/>
                <w:sz w:val="16"/>
                <w:szCs w:val="18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дата выдачи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кем 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выдан</w:t>
            </w:r>
            <w:r>
              <w:rPr>
                <w:sz w:val="18"/>
                <w:szCs w:val="18"/>
                <w:u w:val="single"/>
                <w:lang w:eastAsia="zh-CN"/>
              </w:rPr>
              <w:t xml:space="preserve">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RepresentativePassportIssuer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Адрес:    </w:t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  <w:p>
            <w:pPr>
              <w:jc w:val="both"/>
              <w:rPr>
                <w:sz w:val="18"/>
                <w:szCs w:val="18"/>
                <w:u w:val="single"/>
                <w:lang w:eastAsia="zh-CN"/>
              </w:rPr>
            </w:pPr>
            <w:r>
              <w:rPr>
                <w:sz w:val="18"/>
                <w:szCs w:val="18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begin"/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instrText xml:space="preserve">RepresentativePhoneNumber</w:instrText>
            </w:r>
            <w:r>
              <w:rPr>
                <w:sz w:val="18"/>
                <w:szCs w:val="18"/>
                <w:u w:val="single"/>
                <w:lang w:eastAsia="zh-CN"/>
              </w:rPr>
              <w:instrText xml:space="preserve"> </w:instrTex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separate"/>
            </w:r>
            <w:r>
              <w:rPr>
                <w:b/>
                <w:bCs/>
                <w:sz w:val="18"/>
                <w:szCs w:val="18"/>
                <w:u w:val="single"/>
                <w:lang w:eastAsia="zh-CN"/>
              </w:rPr>
              <w:t xml:space="preserve"> </w:t>
            </w:r>
            <w:r>
              <w:rPr>
                <w:sz w:val="18"/>
                <w:szCs w:val="18"/>
                <w:u w:val="single"/>
                <w:lang w:val="en-US" w:eastAsia="zh-CN"/>
              </w:rPr>
              <w:fldChar w:fldCharType="end"/>
            </w:r>
            <w:r>
              <w:rPr>
                <w:sz w:val="18"/>
                <w:szCs w:val="18"/>
                <w:u w:val="single"/>
                <w:lang w:eastAsia="zh-CN"/>
              </w:rPr>
            </w:r>
            <w:r>
              <w:rPr>
                <w:sz w:val="18"/>
                <w:szCs w:val="18"/>
                <w:u w:val="single"/>
                <w:lang w:eastAsia="zh-CN"/>
              </w:rPr>
            </w:r>
          </w:p>
        </w:tc>
      </w:tr>
    </w:tbl>
    <w:p>
      <w:pPr>
        <w:ind w:hanging="1"/>
        <w:jc w:val="both"/>
        <w:widowControl w:val="off"/>
        <w:rPr>
          <w:bCs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b/>
          <w:sz w:val="18"/>
          <w:szCs w:val="18"/>
          <w:lang w:eastAsia="zh-CN"/>
        </w:rPr>
        <w:t xml:space="preserve">принял решение об участии в аукционе по продаже земельного участка </w:t>
      </w:r>
      <w:r>
        <w:rPr>
          <w:b/>
          <w:sz w:val="18"/>
          <w:szCs w:val="18"/>
          <w:lang w:eastAsia="zh-CN"/>
        </w:rPr>
        <w:t xml:space="preserve">с кадастровым </w:t>
      </w:r>
      <w:r>
        <w:rPr>
          <w:b/>
          <w:sz w:val="18"/>
          <w:szCs w:val="18"/>
          <w:lang w:eastAsia="zh-CN"/>
        </w:rPr>
        <w:t xml:space="preserve">номером:_______________________________________</w:t>
      </w:r>
      <w:r>
        <w:rPr>
          <w:b/>
          <w:sz w:val="18"/>
          <w:szCs w:val="18"/>
          <w:lang w:eastAsia="zh-CN"/>
        </w:rPr>
        <w:t xml:space="preserve">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18"/>
          <w:szCs w:val="18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18"/>
          <w:szCs w:val="18"/>
          <w:lang w:eastAsia="zh-CN"/>
        </w:rPr>
        <w:t xml:space="preserve">руб.</w:t>
      </w:r>
      <w:r>
        <w:rPr>
          <w:sz w:val="18"/>
          <w:szCs w:val="18"/>
          <w:u w:val="single"/>
          <w:lang w:eastAsia="zh-CN"/>
        </w:rPr>
        <w:t xml:space="preserve">            (сумма прописью)</w:t>
      </w:r>
      <w:r>
        <w:rPr>
          <w:sz w:val="18"/>
          <w:szCs w:val="18"/>
          <w:lang w:eastAsia="zh-CN"/>
        </w:rPr>
        <w:t xml:space="preserve">, </w:t>
      </w:r>
      <w:r>
        <w:rPr>
          <w:b/>
          <w:sz w:val="18"/>
          <w:szCs w:val="18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</w:t>
      </w:r>
      <w:r>
        <w:rPr>
          <w:b/>
          <w:sz w:val="18"/>
          <w:szCs w:val="18"/>
          <w:lang w:eastAsia="zh-CN"/>
        </w:rPr>
        <w:t xml:space="preserve">щадки.</w:t>
      </w:r>
      <w:r>
        <w:rPr>
          <w:bCs/>
          <w:lang w:eastAsia="zh-CN"/>
        </w:rPr>
      </w:r>
      <w:r>
        <w:rPr>
          <w:bCs/>
          <w:lang w:eastAsia="zh-CN"/>
        </w:rPr>
      </w:r>
    </w:p>
    <w:p>
      <w:pPr>
        <w:ind w:hanging="1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Банковские реквизиты для возврата задатка: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Банк ______________________________________________________________________________________________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Расчётный счёт _______________________________ Корреспондентский счёт 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БИК_________________________________________ Лицевой счёт 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Ф. И. О. (наименование) получателя ___________________________________________________________________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firstLine="142"/>
        <w:jc w:val="both"/>
        <w:widowControl w:val="off"/>
        <w:rPr>
          <w:b/>
          <w:sz w:val="18"/>
          <w:szCs w:val="18"/>
          <w:lang w:eastAsia="zh-CN"/>
        </w:rPr>
      </w:pP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  <w:r>
        <w:rPr>
          <w:b/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обязуется: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Соблюдать условия и порядок про</w:t>
      </w:r>
      <w:r>
        <w:rPr>
          <w:sz w:val="18"/>
          <w:szCs w:val="18"/>
          <w:lang w:eastAsia="zh-CN"/>
        </w:rPr>
        <w:t xml:space="preserve">ведения аукциона в электронной форме, содержащиеся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Регламенте Оператора электронной площадки.</w:t>
      </w:r>
      <w:r>
        <w:rPr>
          <w:sz w:val="18"/>
          <w:szCs w:val="18"/>
          <w:vertAlign w:val="superscript"/>
          <w:lang w:eastAsia="zh-CN"/>
        </w:rPr>
        <w:footnoteReference w:id="3"/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1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В случае признания Победителем аукциона в электронной форме, а также в иных случаях, предусмотренных пунк</w:t>
      </w:r>
      <w:r>
        <w:rPr>
          <w:sz w:val="18"/>
          <w:szCs w:val="18"/>
          <w:lang w:eastAsia="zh-CN"/>
        </w:rPr>
        <w:t xml:space="preserve">тами 13 и 14 статьи 39.12 Земельного кодекса Российской Федерации, заключить договор с Продавцом в соответствии с порядком, сроками и требованиями, установленными Извещением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 и договором.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согласен и приним</w:t>
      </w:r>
      <w:r>
        <w:rPr>
          <w:sz w:val="18"/>
          <w:szCs w:val="18"/>
          <w:lang w:eastAsia="zh-CN"/>
        </w:rPr>
        <w:t xml:space="preserve">ает все условия, требования, положения Извещения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</w:t>
      </w:r>
      <w:r>
        <w:rPr>
          <w:sz w:val="18"/>
          <w:szCs w:val="18"/>
          <w:lang w:eastAsia="zh-CN"/>
        </w:rPr>
        <w:t xml:space="preserve">омлен с реальным состоянием Земельного участка </w:t>
      </w:r>
      <w:r>
        <w:rPr>
          <w:b/>
          <w:sz w:val="18"/>
          <w:szCs w:val="18"/>
          <w:lang w:eastAsia="zh-CN"/>
        </w:rPr>
        <w:t xml:space="preserve">и не имеет претензий к ним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От</w:t>
      </w:r>
      <w:r>
        <w:rPr>
          <w:sz w:val="18"/>
          <w:szCs w:val="18"/>
          <w:lang w:eastAsia="zh-CN"/>
        </w:rPr>
        <w:t xml:space="preserve">ветственность за достоверность представленных документов и информации несет Заявитель. 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</w:t>
      </w:r>
      <w:r>
        <w:rPr>
          <w:sz w:val="18"/>
          <w:szCs w:val="18"/>
          <w:lang w:eastAsia="zh-CN"/>
        </w:rPr>
        <w:t xml:space="preserve">ения блокирования денежных сре</w:t>
      </w:r>
      <w:r>
        <w:rPr>
          <w:sz w:val="18"/>
          <w:szCs w:val="18"/>
          <w:lang w:eastAsia="zh-CN"/>
        </w:rPr>
        <w:t xml:space="preserve">дств в к</w:t>
      </w:r>
      <w:r>
        <w:rPr>
          <w:sz w:val="18"/>
          <w:szCs w:val="18"/>
          <w:lang w:eastAsia="zh-CN"/>
        </w:rPr>
        <w:t xml:space="preserve">ачестве задатка, и они ему понятны.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</w:t>
      </w:r>
      <w:r>
        <w:rPr>
          <w:sz w:val="18"/>
          <w:szCs w:val="18"/>
          <w:lang w:eastAsia="zh-CN"/>
        </w:rPr>
        <w:t xml:space="preserve">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sz w:val="17"/>
          <w:szCs w:val="17"/>
          <w:vertAlign w:val="superscript"/>
          <w:lang w:eastAsia="zh-CN"/>
        </w:rPr>
        <w:footnoteReference w:id="4"/>
      </w:r>
      <w:r>
        <w:rPr>
          <w:sz w:val="17"/>
          <w:szCs w:val="17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numPr>
          <w:ilvl w:val="0"/>
          <w:numId w:val="10"/>
        </w:numPr>
        <w:ind w:left="142" w:hanging="142"/>
        <w:jc w:val="both"/>
        <w:tabs>
          <w:tab w:val="num" w:pos="142" w:leader="none"/>
        </w:tabs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Заявитель осведомлен и согласен с те</w:t>
      </w:r>
      <w:r>
        <w:rPr>
          <w:sz w:val="18"/>
          <w:szCs w:val="18"/>
          <w:lang w:eastAsia="zh-CN"/>
        </w:rPr>
        <w:t xml:space="preserve">м, что Продавец/Организатор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r>
        <w:rPr>
          <w:sz w:val="18"/>
          <w:szCs w:val="18"/>
          <w:lang w:eastAsia="zh-CN"/>
        </w:rPr>
        <w:t xml:space="preserve">ии ау</w:t>
      </w:r>
      <w:r>
        <w:rPr>
          <w:sz w:val="18"/>
          <w:szCs w:val="18"/>
          <w:lang w:eastAsia="zh-CN"/>
        </w:rPr>
        <w:t xml:space="preserve">кциона в электронной форме, а также приос</w:t>
      </w:r>
      <w:r>
        <w:rPr>
          <w:sz w:val="18"/>
          <w:szCs w:val="18"/>
          <w:lang w:eastAsia="zh-CN"/>
        </w:rPr>
        <w:t xml:space="preserve">тановлением процедуры проведения аукциона в электронной форме. </w:t>
      </w:r>
      <w:r>
        <w:rPr>
          <w:sz w:val="18"/>
          <w:szCs w:val="18"/>
          <w:lang w:eastAsia="zh-CN"/>
        </w:rPr>
        <w:t xml:space="preserve">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</w:t>
      </w:r>
      <w:r>
        <w:rPr>
          <w:sz w:val="18"/>
          <w:szCs w:val="18"/>
          <w:lang w:eastAsia="zh-CN"/>
        </w:rPr>
        <w:t xml:space="preserve">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>
        <w:rPr>
          <w:sz w:val="18"/>
          <w:szCs w:val="18"/>
          <w:lang w:eastAsia="zh-CN"/>
        </w:rPr>
        <w:t xml:space="preserve">www.</w:t>
      </w:r>
      <w:r>
        <w:rPr>
          <w:sz w:val="18"/>
          <w:szCs w:val="18"/>
          <w:lang w:eastAsia="zh-CN"/>
        </w:rPr>
        <w:t xml:space="preserve">torgi.gov</w:t>
      </w:r>
      <w:r>
        <w:rPr>
          <w:sz w:val="18"/>
          <w:szCs w:val="18"/>
          <w:lang w:eastAsia="zh-CN"/>
        </w:rPr>
        <w:t xml:space="preserve">.</w:t>
      </w:r>
      <w:r>
        <w:rPr>
          <w:color w:val="000000"/>
          <w:sz w:val="18"/>
          <w:szCs w:val="18"/>
          <w:lang w:eastAsia="zh-CN"/>
        </w:rPr>
        <w:t xml:space="preserve">ruи</w:t>
      </w:r>
      <w:r>
        <w:rPr>
          <w:color w:val="000000"/>
          <w:sz w:val="18"/>
          <w:szCs w:val="18"/>
          <w:lang w:eastAsia="zh-CN"/>
        </w:rPr>
        <w:t xml:space="preserve"> </w:t>
      </w:r>
      <w:r>
        <w:rPr>
          <w:color w:val="000000"/>
          <w:sz w:val="18"/>
          <w:szCs w:val="18"/>
          <w:lang w:eastAsia="zh-CN"/>
        </w:rPr>
        <w:t xml:space="preserve">сайте</w:t>
      </w:r>
      <w:r>
        <w:rPr>
          <w:color w:val="000000"/>
          <w:sz w:val="18"/>
          <w:szCs w:val="18"/>
          <w:lang w:eastAsia="zh-CN"/>
        </w:rPr>
        <w:t xml:space="preserve"> Оператора электронной площадки</w:t>
      </w:r>
      <w:r>
        <w:rPr>
          <w:sz w:val="18"/>
          <w:szCs w:val="18"/>
          <w:lang w:eastAsia="zh-CN"/>
        </w:rPr>
        <w:t xml:space="preserve">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ind w:left="142" w:hanging="142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8.В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</w:t>
      </w:r>
      <w:r>
        <w:rPr>
          <w:sz w:val="18"/>
          <w:szCs w:val="18"/>
          <w:lang w:eastAsia="zh-CN"/>
        </w:rPr>
        <w:t xml:space="preserve">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</w:t>
      </w:r>
      <w:r>
        <w:rPr>
          <w:sz w:val="18"/>
          <w:szCs w:val="18"/>
          <w:lang w:eastAsia="zh-CN"/>
        </w:rPr>
        <w:t xml:space="preserve">енение), использование, обезличивание, блокирование</w:t>
      </w:r>
      <w:r>
        <w:rPr>
          <w:sz w:val="18"/>
          <w:szCs w:val="18"/>
          <w:lang w:eastAsia="zh-CN"/>
        </w:rPr>
        <w:t xml:space="preserve">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</w:t>
      </w:r>
      <w:r>
        <w:rPr>
          <w:sz w:val="18"/>
          <w:szCs w:val="18"/>
          <w:lang w:eastAsia="zh-CN"/>
        </w:rPr>
        <w:t xml:space="preserve">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</w:t>
      </w:r>
      <w:r>
        <w:rPr>
          <w:sz w:val="18"/>
          <w:szCs w:val="18"/>
          <w:lang w:eastAsia="zh-CN"/>
        </w:rPr>
        <w:t xml:space="preserve">, права и обязанности в области защиты персональных данных ему известны.</w:t>
      </w:r>
      <w:r>
        <w:rPr>
          <w:sz w:val="18"/>
          <w:szCs w:val="18"/>
          <w:lang w:eastAsia="zh-CN"/>
        </w:rPr>
      </w:r>
      <w:r>
        <w:rPr>
          <w:sz w:val="18"/>
          <w:szCs w:val="18"/>
          <w:lang w:eastAsia="zh-CN"/>
        </w:rPr>
      </w:r>
    </w:p>
    <w:p>
      <w:pPr>
        <w:spacing w:after="160" w:line="259" w:lineRule="auto"/>
        <w:rPr>
          <w:szCs w:val="28"/>
          <w:lang w:eastAsia="zh-CN"/>
        </w:rPr>
      </w:pPr>
      <w:r>
        <w:rPr>
          <w:szCs w:val="28"/>
          <w:lang w:eastAsia="zh-CN"/>
        </w:rPr>
      </w:r>
      <w:r>
        <w:rPr>
          <w:szCs w:val="28"/>
          <w:lang w:eastAsia="zh-CN"/>
        </w:rPr>
      </w:r>
      <w:r>
        <w:rPr>
          <w:szCs w:val="28"/>
          <w:lang w:eastAsia="zh-CN"/>
        </w:rPr>
      </w:r>
    </w:p>
    <w:p>
      <w:pPr>
        <w:spacing w:after="160" w:line="259" w:lineRule="auto"/>
        <w:rPr>
          <w:bCs/>
          <w:szCs w:val="28"/>
          <w:lang w:eastAsia="zh-CN"/>
        </w:rPr>
      </w:pPr>
      <w:r>
        <w:rPr>
          <w:szCs w:val="28"/>
          <w:lang w:eastAsia="zh-CN"/>
        </w:rPr>
        <w:t xml:space="preserve">Подписано усиленной квалифицированной электронной подписью</w:t>
      </w:r>
      <w:r>
        <w:rPr>
          <w:bCs/>
          <w:szCs w:val="28"/>
          <w:lang w:eastAsia="zh-CN"/>
        </w:rPr>
      </w:r>
      <w:r>
        <w:rPr>
          <w:bCs/>
          <w:szCs w:val="28"/>
          <w:lang w:eastAsia="zh-CN"/>
        </w:rPr>
      </w:r>
    </w:p>
    <w:tbl>
      <w:tblPr>
        <w:tblStyle w:val="936"/>
        <w:tblW w:w="5000" w:type="pct"/>
        <w:tblBorders>
          <w:insideH w:val="none" w:color="000000" w:sz="0" w:space="0"/>
          <w:insideV w:val="none" w:color="000000" w:sz="0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666"/>
      </w:tblGrid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before="1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электронной подписи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Владелец: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Организация: </w:t>
            </w:r>
            <w:r>
              <w:rPr>
                <w:sz w:val="16"/>
                <w:szCs w:val="16"/>
                <w:lang w:eastAsia="zh-CN"/>
              </w:rPr>
              <w:fldChar w:fldCharType="begin"/>
            </w:r>
            <w:r>
              <w:rPr>
                <w:sz w:val="16"/>
                <w:szCs w:val="16"/>
                <w:lang w:eastAsia="zh-CN"/>
              </w:rPr>
              <w:instrText xml:space="preserve"> Документ_ЭлПодпись_Организация_Участник </w:instrText>
            </w:r>
            <w:r>
              <w:rPr>
                <w:sz w:val="16"/>
                <w:szCs w:val="16"/>
                <w:lang w:eastAsia="zh-CN"/>
              </w:rPr>
              <w:fldChar w:fldCharType="separate"/>
            </w:r>
            <w:r>
              <w:rPr>
                <w:b/>
                <w:bCs/>
                <w:sz w:val="16"/>
                <w:szCs w:val="16"/>
                <w:lang w:eastAsia="zh-CN"/>
              </w:rPr>
              <w:t xml:space="preserve">.</w:t>
            </w:r>
            <w:r>
              <w:rPr>
                <w:sz w:val="16"/>
                <w:szCs w:val="16"/>
                <w:lang w:eastAsia="zh-CN"/>
              </w:rPr>
              <w:fldChar w:fldCharType="end"/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Подписано: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b/>
                <w:sz w:val="16"/>
                <w:szCs w:val="16"/>
                <w:lang w:eastAsia="zh-CN"/>
              </w:rPr>
            </w:pPr>
            <w:r>
              <w:rPr>
                <w:b/>
                <w:sz w:val="16"/>
                <w:szCs w:val="16"/>
                <w:lang w:eastAsia="zh-CN"/>
              </w:rPr>
              <w:t xml:space="preserve">Данные сертификата</w:t>
            </w:r>
            <w:r>
              <w:rPr>
                <w:b/>
                <w:sz w:val="16"/>
                <w:szCs w:val="16"/>
                <w:lang w:eastAsia="zh-CN"/>
              </w:rPr>
            </w:r>
            <w:r>
              <w:rPr>
                <w:b/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Серийный номер: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 xml:space="preserve">Срок действия: </w:t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  <w:r>
              <w:rPr>
                <w:sz w:val="16"/>
                <w:szCs w:val="16"/>
                <w:lang w:eastAsia="zh-CN"/>
              </w:rPr>
            </w:r>
          </w:p>
        </w:tc>
      </w:tr>
    </w:tbl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r/>
      <w:bookmarkStart w:id="0" w:name="undefined"/>
      <w:r/>
      <w:bookmarkEnd w:id="0"/>
      <w:r/>
      <w:r/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ДОГОВОР № 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купли-продажи земельного участка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город Кострома                                                                               ______________ года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Управление имущественных и земельных отношений Администрации города Костромы, в лице ______________________________, действующего на основании ________________________, именуемый в дальнейшем «Продавец», с одной стороны, и _________________________________</w:t>
      </w:r>
      <w:r>
        <w:rPr>
          <w:color w:val="000000"/>
          <w:sz w:val="20"/>
          <w:szCs w:val="20"/>
        </w:rPr>
        <w:t xml:space="preserve">_________, в лице ________________________________________, действующего на основании _____________________, именуемый в дальнейшем «Покупатель», с другой стороны, совместно именуемые «Стороны», на основании протокола о результатах аукциона по продаже земе</w:t>
      </w:r>
      <w:r>
        <w:rPr>
          <w:color w:val="000000"/>
          <w:sz w:val="20"/>
          <w:szCs w:val="20"/>
        </w:rPr>
        <w:t xml:space="preserve">льного участка ____________, руководствуясь Земельным кодексом Российской Федерации, заключили настоящий договор о нижеследующем.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1. Предмет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1.1. Продавец обязуется передать в собственность Покупателя земельный участок площадью _______ м</w:t>
      </w:r>
      <w:r>
        <w:rPr>
          <w:color w:val="000000"/>
          <w:sz w:val="20"/>
          <w:szCs w:val="20"/>
          <w:vertAlign w:val="superscript"/>
        </w:rPr>
        <w:t xml:space="preserve">2</w:t>
      </w:r>
      <w:r>
        <w:rPr>
          <w:color w:val="000000"/>
          <w:sz w:val="20"/>
          <w:szCs w:val="20"/>
        </w:rPr>
        <w:t xml:space="preserve"> с када</w:t>
      </w:r>
      <w:r>
        <w:rPr>
          <w:color w:val="000000"/>
          <w:sz w:val="20"/>
          <w:szCs w:val="20"/>
        </w:rPr>
        <w:t xml:space="preserve">стровым номером: ______________________, категория земель: земли населенных пунктов, разрешенное использование: __________________________, по </w:t>
      </w:r>
      <w:r>
        <w:rPr>
          <w:color w:val="000000"/>
          <w:sz w:val="20"/>
          <w:szCs w:val="20"/>
        </w:rPr>
        <w:t xml:space="preserve">адресу:___________________________________</w:t>
      </w:r>
      <w:r>
        <w:rPr>
          <w:color w:val="000000"/>
          <w:sz w:val="20"/>
          <w:szCs w:val="20"/>
        </w:rPr>
        <w:t xml:space="preserve">, а Покупатель обязуется принять земельный участок и уплатить за него о</w:t>
      </w:r>
      <w:r>
        <w:rPr>
          <w:color w:val="000000"/>
          <w:sz w:val="20"/>
          <w:szCs w:val="20"/>
        </w:rPr>
        <w:t xml:space="preserve">пределенную настоящим договором цену.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1.2. План земельного участка указан в кадастровом паспорте _____________________________, выданном филиалом ФГБУ «ФКП </w:t>
      </w:r>
      <w:r>
        <w:rPr>
          <w:color w:val="000000"/>
          <w:sz w:val="20"/>
          <w:szCs w:val="20"/>
        </w:rPr>
        <w:t xml:space="preserve">Росреестра</w:t>
      </w:r>
      <w:r>
        <w:rPr>
          <w:color w:val="000000"/>
          <w:sz w:val="20"/>
          <w:szCs w:val="20"/>
        </w:rPr>
        <w:t xml:space="preserve">»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1.3. Земельный участок обременен _________________________________.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2. Цена договора и порядок оплаты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2.1. Цена продажи земельного участка составляет ______________________ рублей.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both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2.2. Покупатель единовременно в течение 10 (десяти) рабочих дней после заключения настоящего договора перечисляет сумму, указанную в пункте 2.1  настоящего договора, безналичным денежным расчетом (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</w:t>
      </w:r>
      <w:r>
        <w:rPr>
          <w:sz w:val="20"/>
          <w:szCs w:val="20"/>
          <w:highlight w:val="white"/>
        </w:rPr>
        <w:t xml:space="preserve">нных и земельных отношений Администрации города Костромы); ИНН / КПП 4401006568 / 440101001; Единый казначейский счет 40102810145370000103; Казначейский счет 03100643000000014100; </w:t>
      </w:r>
      <w:r>
        <w:rPr>
          <w:sz w:val="20"/>
          <w:szCs w:val="20"/>
          <w:highlight w:val="white"/>
        </w:rPr>
        <w:t xml:space="preserve">Банк получателя ОКЦ № 1 ВОЛГО-ВЯТСКОЕ ГУ БАНКА РОССИИ//УФК по Костромской об</w:t>
      </w:r>
      <w:r>
        <w:rPr>
          <w:sz w:val="20"/>
          <w:szCs w:val="20"/>
          <w:highlight w:val="white"/>
        </w:rPr>
        <w:t xml:space="preserve">ласти, г. Кострома; БИК ТОФК 042202103; ОКТМО 34701000, КБК 96611406012040000430, назн</w:t>
      </w:r>
      <w:r>
        <w:rPr>
          <w:color w:val="000000"/>
          <w:sz w:val="20"/>
          <w:szCs w:val="20"/>
        </w:rPr>
        <w:t xml:space="preserve">ачение платежа: за земельный участок по договору купли-продажи от ___________  № ____.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Перечисленный Продавцу задаток за участие в аукционе по продаже земельного участка в</w:t>
      </w:r>
      <w:r>
        <w:rPr>
          <w:color w:val="000000"/>
          <w:sz w:val="20"/>
          <w:szCs w:val="20"/>
        </w:rPr>
        <w:t xml:space="preserve"> сумме </w:t>
      </w:r>
      <w:r>
        <w:rPr>
          <w:color w:val="000000"/>
          <w:sz w:val="20"/>
          <w:szCs w:val="20"/>
        </w:rPr>
        <w:t xml:space="preserve">_________рублей</w:t>
      </w:r>
      <w:r>
        <w:rPr>
          <w:color w:val="000000"/>
          <w:sz w:val="20"/>
          <w:szCs w:val="20"/>
        </w:rPr>
        <w:t xml:space="preserve"> зачисляется в счет платежа по настоящему договору за земельный участок.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2.3. Факт перечисления денежных средств, указанных в пункте 2.2 настоящего договора, подтверждается выпиской Управления федерального казначейства по Костромской </w:t>
      </w:r>
      <w:r>
        <w:rPr>
          <w:color w:val="000000"/>
          <w:sz w:val="20"/>
          <w:szCs w:val="20"/>
        </w:rPr>
        <w:t xml:space="preserve">области с лицевого счета Продавца о поступлении денежных сре</w:t>
      </w:r>
      <w:r>
        <w:rPr>
          <w:color w:val="000000"/>
          <w:sz w:val="20"/>
          <w:szCs w:val="20"/>
        </w:rPr>
        <w:t xml:space="preserve">дств в б</w:t>
      </w:r>
      <w:r>
        <w:rPr>
          <w:color w:val="000000"/>
          <w:sz w:val="20"/>
          <w:szCs w:val="20"/>
        </w:rPr>
        <w:t xml:space="preserve">юджет города Костромы и выпиской из лицевого счета Продавца соответственно.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2.4. Обязательство Покупателя по оплате земельного участка считается исполненным надлежащим образом в случае, ес</w:t>
      </w:r>
      <w:r>
        <w:rPr>
          <w:color w:val="000000"/>
          <w:sz w:val="20"/>
          <w:szCs w:val="20"/>
        </w:rPr>
        <w:t xml:space="preserve">ли денежные средства, указанные в пункте 2.2 настоящего договора, поступили в размере, в срок и на реквизиты, указанные в пункте 2.2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3. Права и обязанности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3.1. Продавец обязан передать земельный участок Покупателю не позднее чем через 5 (пять) дней после дня его полной оплаты. Передача земельного участка Продавцом и принятие его Покупателем оформляется подписываемым Сторонами актом приема-передачи. Обязатель</w:t>
      </w:r>
      <w:r>
        <w:rPr>
          <w:color w:val="000000"/>
          <w:sz w:val="20"/>
          <w:szCs w:val="20"/>
        </w:rPr>
        <w:t xml:space="preserve">ство Продавца по передаче земельного участка считается исполненным надлежащим образом с момента подписания Сторонами акта приема-передачи.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 Покупатель обязан: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3.2.1. </w:t>
      </w:r>
      <w:r>
        <w:rPr>
          <w:color w:val="000000"/>
          <w:sz w:val="20"/>
          <w:szCs w:val="20"/>
        </w:rPr>
        <w:t xml:space="preserve">оплатить стоимость земельного</w:t>
      </w:r>
      <w:r>
        <w:rPr>
          <w:color w:val="000000"/>
          <w:sz w:val="20"/>
          <w:szCs w:val="20"/>
        </w:rPr>
        <w:t xml:space="preserve"> участка в размере, сроки и в порядке, установленные наст</w:t>
      </w:r>
      <w:r>
        <w:rPr>
          <w:color w:val="000000"/>
          <w:sz w:val="20"/>
          <w:szCs w:val="20"/>
        </w:rPr>
        <w:t xml:space="preserve">оящим договором;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3.2.2. содержать земельный участок в надлежащем санитарном и техническом состоянии в соответствии с действующим законодательством.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4. Ответственность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 Стороны несут ответственность за ненадлежащее выполнение условий настоящего </w:t>
      </w:r>
      <w:r>
        <w:rPr>
          <w:color w:val="000000"/>
          <w:sz w:val="20"/>
          <w:szCs w:val="20"/>
        </w:rPr>
        <w:t xml:space="preserve">договора в соответствии с законодательством Российской Федерации.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709"/>
        <w:jc w:val="both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</w:rPr>
        <w:t xml:space="preserve">4.2. За нарушение срока перечисления денежных средств, указанных в пункте 2.2 настоящего договора, и/или неполное их перечисление, Покупатель уплачивает Продавцу неустойку в виде пени за каж</w:t>
      </w:r>
      <w:r>
        <w:rPr>
          <w:color w:val="000000"/>
          <w:sz w:val="20"/>
          <w:szCs w:val="20"/>
        </w:rPr>
        <w:t xml:space="preserve">дый день просрочки в размере 1/150 ставки рефинансирования Центрального Банка Российской Федерации, действующей на дату выполнения денежного обязательства. </w:t>
      </w:r>
      <w:r>
        <w:rPr>
          <w:sz w:val="20"/>
          <w:szCs w:val="20"/>
          <w:highlight w:val="white"/>
        </w:rPr>
        <w:t xml:space="preserve">Получатель УФК по Костромской области (Управление имущественных и земельных отношений Администрации </w:t>
      </w:r>
      <w:r>
        <w:rPr>
          <w:sz w:val="20"/>
          <w:szCs w:val="20"/>
          <w:highlight w:val="white"/>
        </w:rPr>
        <w:t xml:space="preserve">города Костромы); ИНН / КПП 4401006568 / 440101001; Единый казначейский счет 40102810145370000103;Казначейский счет 03100643000000014100; Банк получателя ОКЦ № 1 ВОЛГО-ВЯТСКОЕ ГУ БАНКА РОССИИ//УФК по Костромской области, </w:t>
      </w:r>
      <w:r>
        <w:rPr>
          <w:sz w:val="20"/>
          <w:szCs w:val="20"/>
          <w:highlight w:val="white"/>
        </w:rPr>
        <w:t xml:space="preserve">г</w:t>
      </w:r>
      <w:r>
        <w:rPr>
          <w:sz w:val="20"/>
          <w:szCs w:val="20"/>
          <w:highlight w:val="white"/>
        </w:rPr>
        <w:t xml:space="preserve">. Кострома; БИК ТОФК 042202103; ОК</w:t>
      </w:r>
      <w:r>
        <w:rPr>
          <w:sz w:val="20"/>
          <w:szCs w:val="20"/>
          <w:highlight w:val="white"/>
        </w:rPr>
        <w:t xml:space="preserve">ТМО 34701000; КБК 96611607090040002140</w:t>
      </w:r>
      <w:r>
        <w:rPr>
          <w:sz w:val="20"/>
          <w:szCs w:val="20"/>
        </w:rPr>
        <w:t xml:space="preserve">.</w:t>
      </w:r>
      <w:r>
        <w:rPr>
          <w:color w:val="000000"/>
          <w:sz w:val="20"/>
          <w:szCs w:val="20"/>
          <w:highlight w:val="yellow"/>
        </w:rPr>
      </w:r>
      <w:r>
        <w:rPr>
          <w:color w:val="000000"/>
          <w:sz w:val="20"/>
          <w:szCs w:val="20"/>
          <w:highlight w:val="yellow"/>
        </w:rPr>
      </w:r>
    </w:p>
    <w:p>
      <w:pP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4.3. Уплата неустойки не освобождает Покупателя от исполнения обязательств по настоящему договору.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5. Возникновение права собственности и действие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5.1. Настоящий договор признается заключенным с момента его подписания Сторонами.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5.2. Отношения между Сторонами по настоящему договору прекращаются при исполнении ими всех его условий.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5.3. Право собственности на земельный участок возникает у Покупателя </w:t>
      </w:r>
      <w:r>
        <w:rPr>
          <w:color w:val="000000"/>
          <w:sz w:val="20"/>
          <w:szCs w:val="20"/>
        </w:rPr>
        <w:t xml:space="preserve">с момента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6. Расторжение 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6.1. Настоящий </w:t>
      </w:r>
      <w:r>
        <w:rPr>
          <w:color w:val="000000"/>
          <w:sz w:val="20"/>
          <w:szCs w:val="20"/>
        </w:rPr>
        <w:t xml:space="preserve">договор</w:t>
      </w:r>
      <w:r>
        <w:rPr>
          <w:color w:val="000000"/>
          <w:sz w:val="20"/>
          <w:szCs w:val="20"/>
        </w:rPr>
        <w:t xml:space="preserve"> может быть расторгнут по основаниям, установленным законодате</w:t>
      </w:r>
      <w:r>
        <w:rPr>
          <w:color w:val="000000"/>
          <w:sz w:val="20"/>
          <w:szCs w:val="20"/>
        </w:rPr>
        <w:t xml:space="preserve">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6.2. В случае расторжения настоящего договора в связи с нарушением Покупателем его условий он уплачивает Продавцу штраф в размере 50 (пятидесяти) процентов от цены продажи земельного участка, указанной в пункте 2.1 настоящего </w:t>
      </w:r>
      <w:r>
        <w:rPr>
          <w:color w:val="000000"/>
          <w:sz w:val="20"/>
          <w:szCs w:val="20"/>
        </w:rPr>
        <w:t xml:space="preserve">договора.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6.3. Расторжение настоящего договора не освобождает Покупателя от выплаты неустойки, установленной в пункте 4.2 настоящего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7. Заключительные положения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7.1. До заключения настоящего договора Покупатель ознакомился с состоянием земельного участка.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7.2. Сроки, указанные в настоящем договоре, исчисляются днями. Течение срока начинается на следующий день после наступления события, которым определено его нача</w:t>
      </w:r>
      <w:r>
        <w:rPr>
          <w:color w:val="000000"/>
          <w:sz w:val="20"/>
          <w:szCs w:val="20"/>
        </w:rPr>
        <w:t xml:space="preserve">ло.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7.3. Споры, возникающие при исполнении настоящего договора, разрешаются Сторонами в порядке, установленном законодательством Российской 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7.4. Отношения Сторон, не урегулированные настоящим договором, регулируются законодательством Российской </w:t>
      </w:r>
      <w:r>
        <w:rPr>
          <w:color w:val="000000"/>
          <w:sz w:val="20"/>
          <w:szCs w:val="20"/>
        </w:rPr>
        <w:t xml:space="preserve">Федерации.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7.5. Изменения и дополнения к настоящему договору считаются действительными, если совершены в письменной форме и подписаны Сторонами или их уполномоченными представителями.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40"/>
        <w:jc w:val="both"/>
        <w:spacing w:line="288" w:lineRule="atLeast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0"/>
          <w:szCs w:val="20"/>
        </w:rPr>
        <w:t xml:space="preserve">7.6. </w:t>
      </w:r>
      <w:r>
        <w:rPr>
          <w:sz w:val="20"/>
          <w:szCs w:val="20"/>
        </w:rPr>
        <w:t xml:space="preserve">Настоящий Договор </w:t>
      </w:r>
      <w:r>
        <w:rPr>
          <w:color w:val="000000"/>
          <w:sz w:val="20"/>
          <w:szCs w:val="20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8. Юридические адреса и реквизиты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Продавец: Управление имущественных и земельных отношений Администрации города Костромы, мест</w:t>
      </w:r>
      <w:r>
        <w:rPr>
          <w:color w:val="000000"/>
          <w:sz w:val="20"/>
          <w:szCs w:val="20"/>
        </w:rPr>
        <w:t xml:space="preserve">о нахождения и почтовый адрес: 156005, город Кострома, площадь Конституции, дом 2.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0"/>
          <w:szCs w:val="20"/>
        </w:rPr>
        <w:t xml:space="preserve">Покупатель: _______________________________________________________________________________ 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  <w:sz w:val="20"/>
          <w:szCs w:val="20"/>
        </w:rPr>
        <w:t xml:space="preserve">9. Подписи Сторон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20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Продавец: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Покупатель: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5210" w:type="dxa"/>
            <w:textDirection w:val="lrTb"/>
            <w:noWrap w:val="false"/>
          </w:tcPr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line="276" w:lineRule="auto"/>
              <w:rPr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spacing w:line="276" w:lineRule="auto"/>
              <w:rPr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0"/>
                <w:szCs w:val="20"/>
              </w:rPr>
              <w:t xml:space="preserve">____________________________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851"/>
        <w:jc w:val="center"/>
        <w:rPr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left="765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shd w:val="nil" w:color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283" w:right="709" w:bottom="539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Verdana">
    <w:panose1 w:val="020B060403050404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jc w:val="both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3">
    <w:p>
      <w:pPr>
        <w:pStyle w:val="809"/>
        <w:contextualSpacing/>
        <w:jc w:val="both"/>
        <w:spacing w:line="216" w:lineRule="auto"/>
        <w:rPr>
          <w:sz w:val="18"/>
          <w:szCs w:val="18"/>
        </w:rPr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</w:t>
      </w:r>
      <w:r>
        <w:rPr>
          <w:sz w:val="18"/>
          <w:szCs w:val="18"/>
        </w:rPr>
        <w:t xml:space="preserve"> с Регламентом Оператора электронной площадки при регистрации (аккредитации) на электронной площадке</w:t>
      </w:r>
      <w:r>
        <w:rPr>
          <w:sz w:val="18"/>
          <w:szCs w:val="18"/>
        </w:rPr>
      </w:r>
      <w:r>
        <w:rPr>
          <w:sz w:val="18"/>
          <w:szCs w:val="18"/>
        </w:rPr>
      </w:r>
    </w:p>
  </w:footnote>
  <w:footnote w:id="4">
    <w:p>
      <w:pPr>
        <w:pStyle w:val="809"/>
        <w:contextualSpacing/>
        <w:jc w:val="both"/>
        <w:spacing w:line="216" w:lineRule="auto"/>
      </w:pPr>
      <w:r>
        <w:rPr>
          <w:rStyle w:val="775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электронног</w:t>
      </w:r>
      <w:r>
        <w:rPr>
          <w:sz w:val="18"/>
          <w:szCs w:val="18"/>
        </w:rPr>
        <w:t xml:space="preserve">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</w:t>
      </w:r>
      <w:r>
        <w:rPr>
          <w:sz w:val="18"/>
          <w:szCs w:val="18"/>
        </w:rPr>
        <w:t xml:space="preserve">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8">
    <w:name w:val="Title Char"/>
    <w:basedOn w:val="722"/>
    <w:link w:val="783"/>
    <w:uiPriority w:val="10"/>
    <w:rPr>
      <w:sz w:val="48"/>
      <w:szCs w:val="48"/>
    </w:rPr>
  </w:style>
  <w:style w:type="character" w:styleId="719">
    <w:name w:val="Subtitle Char"/>
    <w:basedOn w:val="722"/>
    <w:link w:val="784"/>
    <w:uiPriority w:val="11"/>
    <w:rPr>
      <w:sz w:val="24"/>
      <w:szCs w:val="24"/>
    </w:rPr>
  </w:style>
  <w:style w:type="character" w:styleId="720">
    <w:name w:val="Endnote Text Char"/>
    <w:link w:val="788"/>
    <w:uiPriority w:val="99"/>
    <w:rPr>
      <w:sz w:val="20"/>
    </w:rPr>
  </w:style>
  <w:style w:type="paragraph" w:styleId="721" w:default="1">
    <w:name w:val="Normal"/>
    <w:qFormat/>
    <w:rPr>
      <w:rFonts w:ascii="Times New Roman" w:hAnsi="Times New Roman" w:eastAsia="Times New Roman" w:cs="Times New Roman"/>
      <w:sz w:val="24"/>
      <w:szCs w:val="24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link w:val="740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link w:val="741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link w:val="74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Heading 4 Char"/>
    <w:basedOn w:val="722"/>
    <w:link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Heading 5 Char"/>
    <w:basedOn w:val="722"/>
    <w:link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6 Char"/>
    <w:basedOn w:val="722"/>
    <w:link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Heading 7 Char"/>
    <w:basedOn w:val="722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Heading 8 Char"/>
    <w:basedOn w:val="722"/>
    <w:link w:val="747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Heading 9 Char"/>
    <w:basedOn w:val="722"/>
    <w:link w:val="748"/>
    <w:uiPriority w:val="9"/>
    <w:rPr>
      <w:rFonts w:ascii="Arial" w:hAnsi="Arial" w:eastAsia="Arial" w:cs="Arial"/>
      <w:i/>
      <w:iCs/>
      <w:sz w:val="21"/>
      <w:szCs w:val="21"/>
    </w:rPr>
  </w:style>
  <w:style w:type="character" w:styleId="734" w:customStyle="1">
    <w:name w:val="Название Знак"/>
    <w:basedOn w:val="722"/>
    <w:link w:val="783"/>
    <w:uiPriority w:val="10"/>
    <w:rPr>
      <w:sz w:val="48"/>
      <w:szCs w:val="48"/>
    </w:rPr>
  </w:style>
  <w:style w:type="character" w:styleId="735" w:customStyle="1">
    <w:name w:val="Подзаголовок Знак1"/>
    <w:basedOn w:val="722"/>
    <w:link w:val="784"/>
    <w:uiPriority w:val="11"/>
    <w:rPr>
      <w:sz w:val="24"/>
      <w:szCs w:val="24"/>
    </w:rPr>
  </w:style>
  <w:style w:type="character" w:styleId="736" w:customStyle="1">
    <w:name w:val="Quote Char"/>
    <w:link w:val="785"/>
    <w:uiPriority w:val="29"/>
    <w:rPr>
      <w:i/>
    </w:rPr>
  </w:style>
  <w:style w:type="character" w:styleId="737" w:customStyle="1">
    <w:name w:val="Intense Quote Char"/>
    <w:link w:val="786"/>
    <w:uiPriority w:val="30"/>
    <w:rPr>
      <w:i/>
    </w:rPr>
  </w:style>
  <w:style w:type="character" w:styleId="738" w:customStyle="1">
    <w:name w:val="Текст концевой сноски Знак1"/>
    <w:link w:val="788"/>
    <w:uiPriority w:val="99"/>
    <w:rPr>
      <w:sz w:val="20"/>
    </w:rPr>
  </w:style>
  <w:style w:type="paragraph" w:styleId="739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740" w:customStyle="1">
    <w:name w:val="Heading 1"/>
    <w:basedOn w:val="721"/>
    <w:next w:val="721"/>
    <w:link w:val="8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1" w:customStyle="1">
    <w:name w:val="Heading 2"/>
    <w:basedOn w:val="721"/>
    <w:next w:val="721"/>
    <w:link w:val="7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2" w:customStyle="1">
    <w:name w:val="Heading 3"/>
    <w:basedOn w:val="721"/>
    <w:next w:val="721"/>
    <w:link w:val="8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3" w:customStyle="1">
    <w:name w:val="Heading 4"/>
    <w:basedOn w:val="721"/>
    <w:next w:val="721"/>
    <w:link w:val="8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4" w:customStyle="1">
    <w:name w:val="Heading 5"/>
    <w:basedOn w:val="721"/>
    <w:next w:val="721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5" w:customStyle="1">
    <w:name w:val="Heading 6"/>
    <w:basedOn w:val="721"/>
    <w:next w:val="721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6" w:customStyle="1">
    <w:name w:val="Heading 7"/>
    <w:basedOn w:val="721"/>
    <w:next w:val="721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7" w:customStyle="1">
    <w:name w:val="Heading 8"/>
    <w:basedOn w:val="721"/>
    <w:next w:val="721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8" w:customStyle="1">
    <w:name w:val="Heading 9"/>
    <w:basedOn w:val="721"/>
    <w:next w:val="721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Заголовок 2 Знак"/>
    <w:basedOn w:val="722"/>
    <w:link w:val="741"/>
    <w:uiPriority w:val="9"/>
    <w:qFormat/>
    <w:rPr>
      <w:rFonts w:ascii="Arial" w:hAnsi="Arial" w:eastAsia="Arial" w:cs="Arial"/>
      <w:sz w:val="34"/>
    </w:rPr>
  </w:style>
  <w:style w:type="character" w:styleId="750" w:customStyle="1">
    <w:name w:val="Заголовок 6 Знак"/>
    <w:basedOn w:val="722"/>
    <w:link w:val="74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basedOn w:val="722"/>
    <w:link w:val="74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basedOn w:val="722"/>
    <w:link w:val="74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basedOn w:val="722"/>
    <w:link w:val="74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4" w:customStyle="1">
    <w:name w:val="Заголовок Знак"/>
    <w:basedOn w:val="722"/>
    <w:link w:val="783"/>
    <w:uiPriority w:val="10"/>
    <w:qFormat/>
    <w:rPr>
      <w:sz w:val="48"/>
      <w:szCs w:val="48"/>
    </w:rPr>
  </w:style>
  <w:style w:type="character" w:styleId="755" w:customStyle="1">
    <w:name w:val="Подзаголовок Знак"/>
    <w:basedOn w:val="722"/>
    <w:link w:val="784"/>
    <w:uiPriority w:val="11"/>
    <w:qFormat/>
    <w:rPr>
      <w:sz w:val="24"/>
      <w:szCs w:val="24"/>
    </w:rPr>
  </w:style>
  <w:style w:type="character" w:styleId="756" w:customStyle="1">
    <w:name w:val="Цитата 2 Знак"/>
    <w:link w:val="785"/>
    <w:uiPriority w:val="29"/>
    <w:qFormat/>
    <w:rPr>
      <w:i/>
    </w:rPr>
  </w:style>
  <w:style w:type="character" w:styleId="757" w:customStyle="1">
    <w:name w:val="Выделенная цитата Знак"/>
    <w:link w:val="786"/>
    <w:uiPriority w:val="30"/>
    <w:qFormat/>
    <w:rPr>
      <w:i/>
    </w:rPr>
  </w:style>
  <w:style w:type="character" w:styleId="758" w:customStyle="1">
    <w:name w:val="Header Char"/>
    <w:basedOn w:val="722"/>
    <w:uiPriority w:val="99"/>
    <w:qFormat/>
  </w:style>
  <w:style w:type="character" w:styleId="759" w:customStyle="1">
    <w:name w:val="Footer Char"/>
    <w:basedOn w:val="722"/>
    <w:uiPriority w:val="99"/>
    <w:qFormat/>
  </w:style>
  <w:style w:type="character" w:styleId="760" w:customStyle="1">
    <w:name w:val="Caption Char"/>
    <w:link w:val="787"/>
    <w:uiPriority w:val="99"/>
    <w:qFormat/>
  </w:style>
  <w:style w:type="character" w:styleId="761" w:customStyle="1">
    <w:name w:val="Footnote Text Char"/>
    <w:uiPriority w:val="99"/>
    <w:qFormat/>
    <w:rPr>
      <w:sz w:val="18"/>
    </w:rPr>
  </w:style>
  <w:style w:type="character" w:styleId="762" w:customStyle="1">
    <w:name w:val="Текст концевой сноски Знак"/>
    <w:link w:val="788"/>
    <w:uiPriority w:val="99"/>
    <w:qFormat/>
    <w:rPr>
      <w:sz w:val="20"/>
    </w:rPr>
  </w:style>
  <w:style w:type="character" w:styleId="763" w:customStyle="1">
    <w:name w:val="Символ концевой сноски"/>
    <w:basedOn w:val="722"/>
    <w:uiPriority w:val="99"/>
    <w:semiHidden/>
    <w:unhideWhenUsed/>
    <w:qFormat/>
    <w:rPr>
      <w:vertAlign w:val="superscript"/>
    </w:rPr>
  </w:style>
  <w:style w:type="character" w:styleId="764">
    <w:name w:val="endnote reference"/>
    <w:rPr>
      <w:vertAlign w:val="superscript"/>
    </w:rPr>
  </w:style>
  <w:style w:type="character" w:styleId="765">
    <w:name w:val="FollowedHyperlink"/>
    <w:basedOn w:val="722"/>
    <w:uiPriority w:val="99"/>
    <w:unhideWhenUsed/>
    <w:qFormat/>
    <w:rPr>
      <w:color w:val="800080"/>
      <w:u w:val="single"/>
    </w:rPr>
  </w:style>
  <w:style w:type="character" w:styleId="766">
    <w:name w:val="Hyperlink"/>
    <w:basedOn w:val="722"/>
    <w:uiPriority w:val="99"/>
    <w:unhideWhenUsed/>
    <w:qFormat/>
    <w:rPr>
      <w:color w:val="0000ff"/>
      <w:u w:val="single"/>
    </w:rPr>
  </w:style>
  <w:style w:type="character" w:styleId="767">
    <w:name w:val="Strong"/>
    <w:basedOn w:val="722"/>
    <w:qFormat/>
    <w:rPr>
      <w:rFonts w:cs="Times New Roman"/>
      <w:b/>
      <w:bCs/>
    </w:rPr>
  </w:style>
  <w:style w:type="character" w:styleId="768" w:customStyle="1">
    <w:name w:val="Верхний колонтитул Знак"/>
    <w:basedOn w:val="722"/>
    <w:link w:val="802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69" w:customStyle="1">
    <w:name w:val="Нижний колонтитул Знак"/>
    <w:basedOn w:val="722"/>
    <w:link w:val="803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0" w:customStyle="1">
    <w:name w:val="10"/>
    <w:basedOn w:val="722"/>
    <w:qFormat/>
    <w:rPr>
      <w:rFonts w:ascii="Times New Roman" w:hAnsi="Times New Roman" w:cs="Times New Roman"/>
    </w:rPr>
  </w:style>
  <w:style w:type="character" w:styleId="771" w:customStyle="1">
    <w:name w:val="15"/>
    <w:basedOn w:val="722"/>
    <w:qFormat/>
    <w:rPr>
      <w:rFonts w:ascii="Times New Roman" w:hAnsi="Times New Roman" w:cs="Times New Roman"/>
      <w:color w:val="0000ff"/>
      <w:u w:val="single"/>
    </w:rPr>
  </w:style>
  <w:style w:type="character" w:styleId="772" w:customStyle="1">
    <w:name w:val="16"/>
    <w:basedOn w:val="722"/>
    <w:qFormat/>
    <w:rPr>
      <w:rFonts w:ascii="Times New Roman" w:hAnsi="Times New Roman" w:cs="Times New Roman"/>
    </w:rPr>
  </w:style>
  <w:style w:type="character" w:styleId="773" w:customStyle="1">
    <w:name w:val="rts-text"/>
    <w:basedOn w:val="722"/>
    <w:qFormat/>
  </w:style>
  <w:style w:type="character" w:styleId="774" w:customStyle="1">
    <w:name w:val="Символ сноски"/>
    <w:qFormat/>
    <w:rPr>
      <w:vertAlign w:val="superscript"/>
    </w:rPr>
  </w:style>
  <w:style w:type="character" w:styleId="775">
    <w:name w:val="footnote reference"/>
    <w:rPr>
      <w:vertAlign w:val="superscript"/>
    </w:rPr>
  </w:style>
  <w:style w:type="character" w:styleId="776" w:customStyle="1">
    <w:name w:val="Текст сноски Знак"/>
    <w:basedOn w:val="722"/>
    <w:link w:val="809"/>
    <w:qFormat/>
    <w:rPr>
      <w:rFonts w:ascii="Times New Roman" w:hAnsi="Times New Roman" w:eastAsia="Times New Roman" w:cs="Times New Roman"/>
      <w:lang w:eastAsia="zh-CN"/>
    </w:rPr>
  </w:style>
  <w:style w:type="character" w:styleId="777" w:customStyle="1">
    <w:name w:val="Текст выноски Знак"/>
    <w:basedOn w:val="722"/>
    <w:link w:val="810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778" w:customStyle="1">
    <w:name w:val="Заголовок"/>
    <w:basedOn w:val="721"/>
    <w:next w:val="77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779">
    <w:name w:val="Body Text"/>
    <w:basedOn w:val="721"/>
    <w:pPr>
      <w:spacing w:after="140" w:line="276" w:lineRule="auto"/>
    </w:pPr>
  </w:style>
  <w:style w:type="paragraph" w:styleId="780">
    <w:name w:val="List"/>
    <w:basedOn w:val="779"/>
    <w:rPr>
      <w:rFonts w:cs="Mangal"/>
    </w:rPr>
  </w:style>
  <w:style w:type="paragraph" w:styleId="781" w:customStyle="1">
    <w:name w:val="Caption"/>
    <w:basedOn w:val="721"/>
    <w:link w:val="760"/>
    <w:qFormat/>
    <w:pPr>
      <w:spacing w:before="120" w:after="120"/>
      <w:suppressLineNumbers/>
    </w:pPr>
    <w:rPr>
      <w:rFonts w:cs="Mangal"/>
      <w:i/>
      <w:iCs/>
    </w:rPr>
  </w:style>
  <w:style w:type="paragraph" w:styleId="782">
    <w:name w:val="index heading"/>
    <w:basedOn w:val="721"/>
    <w:qFormat/>
    <w:pPr>
      <w:suppressLineNumbers/>
    </w:pPr>
    <w:rPr>
      <w:rFonts w:cs="Mangal"/>
    </w:rPr>
  </w:style>
  <w:style w:type="paragraph" w:styleId="783">
    <w:name w:val="Title"/>
    <w:basedOn w:val="721"/>
    <w:next w:val="721"/>
    <w:link w:val="73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4">
    <w:name w:val="Subtitle"/>
    <w:basedOn w:val="721"/>
    <w:next w:val="721"/>
    <w:link w:val="735"/>
    <w:uiPriority w:val="11"/>
    <w:qFormat/>
    <w:pPr>
      <w:spacing w:before="200" w:after="200"/>
    </w:pPr>
  </w:style>
  <w:style w:type="paragraph" w:styleId="785">
    <w:name w:val="Quote"/>
    <w:basedOn w:val="721"/>
    <w:next w:val="721"/>
    <w:link w:val="756"/>
    <w:uiPriority w:val="29"/>
    <w:qFormat/>
    <w:pPr>
      <w:ind w:left="720" w:right="720"/>
    </w:pPr>
    <w:rPr>
      <w:i/>
    </w:rPr>
  </w:style>
  <w:style w:type="paragraph" w:styleId="786">
    <w:name w:val="Intense Quote"/>
    <w:basedOn w:val="721"/>
    <w:next w:val="721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7" w:customStyle="1">
    <w:name w:val="Caption"/>
    <w:basedOn w:val="721"/>
    <w:next w:val="721"/>
    <w:link w:val="7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88">
    <w:name w:val="endnote text"/>
    <w:basedOn w:val="721"/>
    <w:link w:val="738"/>
    <w:uiPriority w:val="99"/>
    <w:semiHidden/>
    <w:unhideWhenUsed/>
    <w:rPr>
      <w:sz w:val="20"/>
    </w:rPr>
  </w:style>
  <w:style w:type="paragraph" w:styleId="789">
    <w:name w:val="toc 1"/>
    <w:basedOn w:val="721"/>
    <w:next w:val="721"/>
    <w:uiPriority w:val="39"/>
    <w:unhideWhenUsed/>
    <w:pPr>
      <w:spacing w:after="57"/>
    </w:pPr>
  </w:style>
  <w:style w:type="paragraph" w:styleId="790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791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792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793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794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795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796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797" w:customStyle="1">
    <w:name w:val="Index Heading"/>
    <w:basedOn w:val="778"/>
  </w:style>
  <w:style w:type="paragraph" w:styleId="798">
    <w:name w:val="TOC Heading"/>
    <w:uiPriority w:val="39"/>
    <w:unhideWhenUsed/>
  </w:style>
  <w:style w:type="paragraph" w:styleId="799">
    <w:name w:val="table of figures"/>
    <w:basedOn w:val="721"/>
    <w:next w:val="721"/>
    <w:uiPriority w:val="99"/>
    <w:unhideWhenUsed/>
    <w:qFormat/>
  </w:style>
  <w:style w:type="paragraph" w:styleId="800">
    <w:name w:val="Body Text Indent 3"/>
    <w:basedOn w:val="721"/>
    <w:uiPriority w:val="99"/>
    <w:unhideWhenUsed/>
    <w:qFormat/>
    <w:pPr>
      <w:ind w:left="283"/>
      <w:spacing w:after="120"/>
    </w:pPr>
    <w:rPr>
      <w:sz w:val="16"/>
      <w:szCs w:val="16"/>
    </w:rPr>
  </w:style>
  <w:style w:type="paragraph" w:styleId="801" w:customStyle="1">
    <w:name w:val="Колонтитул"/>
    <w:basedOn w:val="721"/>
    <w:qFormat/>
  </w:style>
  <w:style w:type="paragraph" w:styleId="802" w:customStyle="1">
    <w:name w:val="Header"/>
    <w:basedOn w:val="721"/>
    <w:link w:val="768"/>
    <w:uiPriority w:val="99"/>
    <w:unhideWhenUsed/>
    <w:qFormat/>
  </w:style>
  <w:style w:type="paragraph" w:styleId="803" w:customStyle="1">
    <w:name w:val="Footer"/>
    <w:basedOn w:val="721"/>
    <w:link w:val="769"/>
    <w:uiPriority w:val="99"/>
    <w:unhideWhenUsed/>
    <w:qFormat/>
  </w:style>
  <w:style w:type="paragraph" w:styleId="804">
    <w:name w:val="Normal (Web)"/>
    <w:basedOn w:val="721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05">
    <w:name w:val="No Spacing"/>
    <w:uiPriority w:val="1"/>
    <w:qFormat/>
    <w:rPr>
      <w:rFonts w:eastAsia="Times New Roman" w:cs="Times New Roman"/>
      <w:sz w:val="22"/>
      <w:szCs w:val="22"/>
      <w:lang w:eastAsia="en-US"/>
    </w:rPr>
  </w:style>
  <w:style w:type="paragraph" w:styleId="806" w:customStyle="1">
    <w:name w:val="rezul"/>
    <w:basedOn w:val="721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07" w:customStyle="1">
    <w:name w:val="Заголов1"/>
    <w:basedOn w:val="721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08">
    <w:name w:val="List Paragraph"/>
    <w:basedOn w:val="721"/>
    <w:uiPriority w:val="99"/>
    <w:qFormat/>
    <w:pPr>
      <w:contextualSpacing/>
      <w:ind w:left="720"/>
    </w:pPr>
  </w:style>
  <w:style w:type="paragraph" w:styleId="809">
    <w:name w:val="footnote text"/>
    <w:basedOn w:val="721"/>
    <w:link w:val="776"/>
    <w:rPr>
      <w:sz w:val="20"/>
      <w:szCs w:val="20"/>
      <w:lang w:eastAsia="zh-CN"/>
    </w:rPr>
  </w:style>
  <w:style w:type="paragraph" w:styleId="810">
    <w:name w:val="Balloon Text"/>
    <w:basedOn w:val="721"/>
    <w:link w:val="777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811" w:customStyle="1">
    <w:name w:val="Table Grid Light"/>
    <w:basedOn w:val="723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 w:customStyle="1">
    <w:name w:val="Plain Table 1"/>
    <w:basedOn w:val="723"/>
    <w:link w:val="740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3" w:customStyle="1">
    <w:name w:val="Plain Table 2"/>
    <w:basedOn w:val="723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14" w:customStyle="1">
    <w:name w:val="Plain Table 3"/>
    <w:basedOn w:val="723"/>
    <w:link w:val="742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5" w:customStyle="1">
    <w:name w:val="Plain Table 4"/>
    <w:basedOn w:val="723"/>
    <w:link w:val="74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Plain Table 5"/>
    <w:basedOn w:val="723"/>
    <w:link w:val="7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1 Light"/>
    <w:basedOn w:val="723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2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"/>
    <w:basedOn w:val="72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1"/>
    <w:basedOn w:val="723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5"/>
    <w:basedOn w:val="723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6"/>
    <w:basedOn w:val="723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4"/>
    <w:basedOn w:val="723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9" w:customStyle="1">
    <w:name w:val="Grid Table 4 - Accent 1"/>
    <w:basedOn w:val="723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</w:tcBorders>
      </w:tcPr>
    </w:tblStylePr>
  </w:style>
  <w:style w:type="table" w:styleId="840" w:customStyle="1">
    <w:name w:val="Grid Table 4 - Accent 2"/>
    <w:basedOn w:val="723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</w:tcBorders>
      </w:tcPr>
    </w:tblStylePr>
  </w:style>
  <w:style w:type="table" w:styleId="841" w:customStyle="1">
    <w:name w:val="Grid Table 4 - Accent 3"/>
    <w:basedOn w:val="72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</w:tcBorders>
      </w:tcPr>
    </w:tblStylePr>
  </w:style>
  <w:style w:type="table" w:styleId="842" w:customStyle="1">
    <w:name w:val="Grid Table 4 - Accent 4"/>
    <w:basedOn w:val="723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</w:tcBorders>
      </w:tcPr>
    </w:tblStylePr>
  </w:style>
  <w:style w:type="table" w:styleId="843" w:customStyle="1">
    <w:name w:val="Grid Table 4 - Accent 5"/>
    <w:basedOn w:val="723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4" w:customStyle="1">
    <w:name w:val="Grid Table 4 - Accent 6"/>
    <w:basedOn w:val="723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5" w:customStyle="1">
    <w:name w:val="Grid Table 5 Dark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- Accent 1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- Accent 4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3" w:customStyle="1">
    <w:name w:val="Grid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4" w:customStyle="1">
    <w:name w:val="Grid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5" w:customStyle="1">
    <w:name w:val="Grid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6" w:customStyle="1">
    <w:name w:val="Grid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7" w:customStyle="1">
    <w:name w:val="Grid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8" w:customStyle="1">
    <w:name w:val="Grid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9" w:customStyle="1">
    <w:name w:val="Grid Table 7 Colorful"/>
    <w:basedOn w:val="723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1"/>
    <w:basedOn w:val="723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Grid Table 7 Colorful - Accent 2"/>
    <w:basedOn w:val="723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3"/>
    <w:basedOn w:val="72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Grid Table 7 Colorful - Accent 4"/>
    <w:basedOn w:val="723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Grid Table 7 Colorful - Accent 5"/>
    <w:basedOn w:val="723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Grid Table 7 Colorful - Accent 6"/>
    <w:basedOn w:val="723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1 Light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1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2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3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4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5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6"/>
    <w:basedOn w:val="723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2"/>
    <w:basedOn w:val="723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4" w:customStyle="1">
    <w:name w:val="List Table 2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75" w:customStyle="1">
    <w:name w:val="List Table 2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76" w:customStyle="1">
    <w:name w:val="List Table 2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77" w:customStyle="1">
    <w:name w:val="List Table 2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78" w:customStyle="1">
    <w:name w:val="List Table 2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79" w:customStyle="1">
    <w:name w:val="List Table 2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80" w:customStyle="1">
    <w:name w:val="List Table 3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"/>
    <w:basedOn w:val="72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1"/>
    <w:basedOn w:val="723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2"/>
    <w:basedOn w:val="723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3"/>
    <w:basedOn w:val="72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4"/>
    <w:basedOn w:val="723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5"/>
    <w:basedOn w:val="723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6"/>
    <w:basedOn w:val="723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5 Dark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5" w:customStyle="1">
    <w:name w:val="List Table 5 Dark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6" w:customStyle="1">
    <w:name w:val="List Table 5 Dark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7" w:customStyle="1">
    <w:name w:val="List Table 5 Dark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8" w:customStyle="1">
    <w:name w:val="List Table 5 Dark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 w:customStyle="1">
    <w:name w:val="List Table 5 Dark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0" w:customStyle="1">
    <w:name w:val="List Table 5 Dark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01" w:customStyle="1">
    <w:name w:val="List Table 6 Colorful"/>
    <w:basedOn w:val="723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List Table 6 Colorful - Accent 1"/>
    <w:basedOn w:val="723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3" w:customStyle="1">
    <w:name w:val="List Table 6 Colorful - Accent 2"/>
    <w:basedOn w:val="723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04" w:customStyle="1">
    <w:name w:val="List Table 6 Colorful - Accent 3"/>
    <w:basedOn w:val="72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05" w:customStyle="1">
    <w:name w:val="List Table 6 Colorful - Accent 4"/>
    <w:basedOn w:val="723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06" w:customStyle="1">
    <w:name w:val="List Table 6 Colorful - Accent 5"/>
    <w:basedOn w:val="723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07" w:customStyle="1">
    <w:name w:val="List Table 6 Colorful - Accent 6"/>
    <w:basedOn w:val="723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08" w:customStyle="1">
    <w:name w:val="List Table 7 Colorful"/>
    <w:basedOn w:val="723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1"/>
    <w:basedOn w:val="723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st Table 7 Colorful - Accent 2"/>
    <w:basedOn w:val="723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3"/>
    <w:basedOn w:val="72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st Table 7 Colorful - Accent 4"/>
    <w:basedOn w:val="723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3" w:customStyle="1">
    <w:name w:val="List Table 7 Colorful - Accent 5"/>
    <w:basedOn w:val="723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List Table 7 Colorful - Accent 6"/>
    <w:basedOn w:val="723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16" w:customStyle="1">
    <w:name w:val="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17" w:customStyle="1">
    <w:name w:val="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18" w:customStyle="1">
    <w:name w:val="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19" w:customStyle="1">
    <w:name w:val="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0" w:customStyle="1">
    <w:name w:val="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1" w:customStyle="1">
    <w:name w:val="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2" w:customStyle="1">
    <w:name w:val="Bordered &amp; Lined - Accent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23" w:customStyle="1">
    <w:name w:val="Bordered &amp; Lined - Accent 1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24" w:customStyle="1">
    <w:name w:val="Bordered &amp; Lined - Accent 2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25" w:customStyle="1">
    <w:name w:val="Bordered &amp; Lined - Accent 3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26" w:customStyle="1">
    <w:name w:val="Bordered &amp; Lined - Accent 4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27" w:customStyle="1">
    <w:name w:val="Bordered &amp; Lined - Accent 5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28" w:customStyle="1">
    <w:name w:val="Bordered &amp; Lined - Accent 6"/>
    <w:basedOn w:val="72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29" w:customStyle="1">
    <w:name w:val="Bordered"/>
    <w:basedOn w:val="723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30" w:customStyle="1">
    <w:name w:val="Bordered - Accent 1"/>
    <w:basedOn w:val="723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1" w:customStyle="1">
    <w:name w:val="Bordered - Accent 2"/>
    <w:basedOn w:val="723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932" w:customStyle="1">
    <w:name w:val="Bordered - Accent 3"/>
    <w:basedOn w:val="72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933" w:customStyle="1">
    <w:name w:val="Bordered - Accent 4"/>
    <w:basedOn w:val="723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934" w:customStyle="1">
    <w:name w:val="Bordered - Accent 5"/>
    <w:basedOn w:val="723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35" w:customStyle="1">
    <w:name w:val="Bordered - Accent 6"/>
    <w:basedOn w:val="723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936">
    <w:name w:val="Table Grid"/>
    <w:basedOn w:val="723"/>
    <w:uiPriority w:val="59"/>
    <w:rPr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rts-tender.ru/" TargetMode="External"/><Relationship Id="rId10" Type="http://schemas.openxmlformats.org/officeDocument/2006/relationships/hyperlink" Target="http://www.rts-tender.ru/" TargetMode="External"/><Relationship Id="rId11" Type="http://schemas.openxmlformats.org/officeDocument/2006/relationships/hyperlink" Target="http://www.rts-tender.ru/" TargetMode="External"/><Relationship Id="rId12" Type="http://schemas.openxmlformats.org/officeDocument/2006/relationships/hyperlink" Target="https://www.rts-tender.ru/" TargetMode="External"/><Relationship Id="rId13" Type="http://schemas.openxmlformats.org/officeDocument/2006/relationships/hyperlink" Target="http://www.rts-tender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86</cp:revision>
  <dcterms:created xsi:type="dcterms:W3CDTF">2023-10-31T06:24:00Z</dcterms:created>
  <dcterms:modified xsi:type="dcterms:W3CDTF">2026-09-25T07:26:06Z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