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53"/>
        <w:ind w:left="5245" w:firstLine="0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Утверждено</w:t>
      </w:r>
      <w:r>
        <w:rPr>
          <w:i/>
          <w:iCs/>
          <w:sz w:val="22"/>
          <w:szCs w:val="22"/>
        </w:rPr>
      </w:r>
      <w:r>
        <w:rPr>
          <w:i/>
          <w:iCs/>
          <w:sz w:val="22"/>
          <w:szCs w:val="22"/>
        </w:rPr>
      </w:r>
    </w:p>
    <w:p>
      <w:pPr>
        <w:pStyle w:val="753"/>
        <w:ind w:left="5245" w:firstLine="0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распоряжением начальника Управления имущественных и земельных отношений </w:t>
      </w:r>
      <w:r>
        <w:rPr>
          <w:i/>
          <w:iCs/>
          <w:sz w:val="22"/>
          <w:szCs w:val="22"/>
        </w:rPr>
      </w:r>
      <w:r>
        <w:rPr>
          <w:i/>
          <w:iCs/>
          <w:sz w:val="22"/>
          <w:szCs w:val="22"/>
        </w:rPr>
      </w:r>
    </w:p>
    <w:p>
      <w:pPr>
        <w:pStyle w:val="753"/>
        <w:ind w:left="5245" w:firstLine="0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Администрации города Костромы</w:t>
      </w:r>
      <w:r>
        <w:rPr>
          <w:i/>
          <w:iCs/>
          <w:sz w:val="22"/>
          <w:szCs w:val="22"/>
        </w:rPr>
      </w:r>
      <w:r>
        <w:rPr>
          <w:i/>
          <w:iCs/>
          <w:sz w:val="22"/>
          <w:szCs w:val="22"/>
        </w:rPr>
      </w:r>
    </w:p>
    <w:p>
      <w:pPr>
        <w:pStyle w:val="753"/>
        <w:ind w:left="5245" w:firstLine="0"/>
        <w:jc w:val="center"/>
        <w:rPr>
          <w:bCs/>
          <w:i/>
        </w:rPr>
      </w:pPr>
      <w:r>
        <w:rPr>
          <w:bCs/>
          <w:i/>
        </w:rPr>
        <w:t xml:space="preserve">от _________________ № _______</w:t>
      </w:r>
      <w:r>
        <w:rPr>
          <w:bCs/>
          <w:i/>
        </w:rPr>
      </w:r>
      <w:r>
        <w:rPr>
          <w:bCs/>
          <w:i/>
        </w:rPr>
      </w:r>
    </w:p>
    <w:p>
      <w:pPr>
        <w:pStyle w:val="753"/>
        <w:ind w:left="5245"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pStyle w:val="822"/>
        <w:numPr>
          <w:ilvl w:val="0"/>
          <w:numId w:val="0"/>
        </w:numPr>
        <w:rPr>
          <w:sz w:val="22"/>
          <w:szCs w:val="22"/>
        </w:rPr>
        <w:outlineLvl w:val="0"/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ИЗВЕЩЕНИЕ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22"/>
        <w:numPr>
          <w:ilvl w:val="0"/>
          <w:numId w:val="0"/>
        </w:numPr>
        <w:rPr>
          <w:sz w:val="22"/>
          <w:szCs w:val="22"/>
        </w:rPr>
        <w:outlineLvl w:val="0"/>
      </w:pPr>
      <w:r>
        <w:rPr>
          <w:rFonts w:ascii="Times New Roman" w:hAnsi="Times New Roman" w:cs="Times New Roman"/>
          <w:sz w:val="22"/>
          <w:szCs w:val="22"/>
          <w:lang w:val="ru-RU"/>
        </w:rPr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проведении аукциона на право заключения договора аренды земельного участка, расположенного на территории города Костромы, государственная собственность на который не разграничена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53"/>
        <w:ind w:firstLine="709"/>
        <w:jc w:val="both"/>
        <w:rPr>
          <w:rFonts w:ascii="Liberation Serif" w:hAnsi="Liberation Serif"/>
          <w:b/>
          <w:i/>
          <w:sz w:val="22"/>
          <w:szCs w:val="22"/>
        </w:rPr>
      </w:pPr>
      <w:r>
        <w:rPr>
          <w:rFonts w:ascii="Liberation Serif" w:hAnsi="Liberation Serif"/>
          <w:b/>
          <w:i/>
          <w:sz w:val="22"/>
          <w:szCs w:val="22"/>
        </w:rPr>
        <w:t xml:space="preserve"> </w:t>
      </w:r>
      <w:r>
        <w:rPr>
          <w:rFonts w:ascii="Liberation Serif" w:hAnsi="Liberation Serif"/>
          <w:b/>
          <w:i/>
          <w:sz w:val="22"/>
          <w:szCs w:val="22"/>
        </w:rPr>
      </w:r>
      <w:r>
        <w:rPr>
          <w:rFonts w:ascii="Liberation Serif" w:hAnsi="Liberation Serif"/>
          <w:b/>
          <w:i/>
          <w:sz w:val="22"/>
          <w:szCs w:val="22"/>
        </w:rPr>
      </w:r>
    </w:p>
    <w:p>
      <w:pPr>
        <w:pStyle w:val="753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1. Управление имущественных и земельных отношений Администрации города Костромы сообщает о проведении </w:t>
      </w:r>
      <w:r>
        <w:rPr>
          <w:rFonts w:ascii="Times New Roman" w:hAnsi="Times New Roman"/>
          <w:b/>
          <w:bCs/>
          <w:sz w:val="22"/>
          <w:szCs w:val="22"/>
          <w:highlight w:val="none"/>
        </w:rPr>
        <w:t xml:space="preserve">30 </w:t>
      </w:r>
      <w:r>
        <w:rPr>
          <w:rFonts w:ascii="Times New Roman" w:hAnsi="Times New Roman"/>
          <w:b/>
          <w:bCs/>
          <w:sz w:val="22"/>
          <w:szCs w:val="22"/>
          <w:highlight w:val="white"/>
        </w:rPr>
        <w:t xml:space="preserve">января </w:t>
      </w:r>
      <w:r>
        <w:rPr>
          <w:rFonts w:ascii="Times New Roman" w:hAnsi="Times New Roman"/>
          <w:b/>
          <w:bCs/>
          <w:sz w:val="22"/>
          <w:szCs w:val="22"/>
          <w:highlight w:val="white"/>
        </w:rPr>
        <w:t xml:space="preserve">202</w:t>
      </w:r>
      <w:r>
        <w:rPr>
          <w:rFonts w:ascii="Times New Roman" w:hAnsi="Times New Roman"/>
          <w:b/>
          <w:bCs/>
          <w:sz w:val="22"/>
          <w:szCs w:val="22"/>
          <w:highlight w:val="white"/>
        </w:rPr>
        <w:t xml:space="preserve">5 года</w:t>
      </w:r>
      <w:r>
        <w:rPr>
          <w:rFonts w:ascii="Times New Roman" w:hAnsi="Times New Roman"/>
          <w:sz w:val="22"/>
          <w:szCs w:val="22"/>
          <w:highlight w:val="white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аукциона на право заключения договора аренды земельного участка.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53"/>
        <w:ind w:firstLine="709"/>
        <w:jc w:val="both"/>
        <w:rPr>
          <w:rFonts w:ascii="Times New Roman" w:hAnsi="Times New Roman"/>
          <w:sz w:val="22"/>
          <w:szCs w:val="22"/>
          <w:highlight w:val="none"/>
        </w:rPr>
      </w:pPr>
      <w:r>
        <w:rPr>
          <w:rFonts w:ascii="Times New Roman" w:hAnsi="Times New Roman"/>
          <w:sz w:val="22"/>
          <w:szCs w:val="22"/>
        </w:rPr>
        <w:t xml:space="preserve">Форма торгов – электронный аукцион. </w:t>
      </w:r>
      <w:r>
        <w:rPr>
          <w:rFonts w:ascii="Times New Roman" w:hAnsi="Times New Roman"/>
          <w:sz w:val="22"/>
          <w:szCs w:val="22"/>
          <w:highlight w:val="none"/>
        </w:rPr>
      </w:r>
      <w:r>
        <w:rPr>
          <w:rFonts w:ascii="Times New Roman" w:hAnsi="Times New Roman"/>
          <w:sz w:val="22"/>
          <w:szCs w:val="22"/>
          <w:highlight w:val="non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 Основание проведения аукциона – постановление Администрации города Костром</w:t>
      </w:r>
      <w:r>
        <w:rPr>
          <w:rFonts w:ascii="Times New Roman" w:hAnsi="Times New Roman"/>
          <w:sz w:val="22"/>
          <w:szCs w:val="22"/>
        </w:rPr>
        <w:t xml:space="preserve">ы от </w:t>
      </w:r>
      <w:r>
        <w:rPr>
          <w:rFonts w:ascii="Times New Roman" w:hAnsi="Times New Roman"/>
          <w:sz w:val="22"/>
          <w:szCs w:val="22"/>
        </w:rPr>
        <w:t xml:space="preserve">8 августа 2024 </w:t>
      </w:r>
      <w:r>
        <w:rPr>
          <w:rFonts w:ascii="Times New Roman" w:hAnsi="Times New Roman"/>
          <w:sz w:val="22"/>
          <w:szCs w:val="22"/>
        </w:rPr>
        <w:t xml:space="preserve">года № </w:t>
      </w:r>
      <w:r>
        <w:rPr>
          <w:rFonts w:ascii="Times New Roman" w:hAnsi="Times New Roman"/>
          <w:sz w:val="22"/>
          <w:szCs w:val="22"/>
        </w:rPr>
        <w:t xml:space="preserve">1377 «</w:t>
      </w:r>
      <w:r>
        <w:rPr>
          <w:rFonts w:ascii="Times New Roman" w:hAnsi="Times New Roman"/>
          <w:color w:val="000000"/>
          <w:sz w:val="22"/>
          <w:szCs w:val="22"/>
        </w:rPr>
        <w:t xml:space="preserve">О проведении аукцио</w:t>
      </w:r>
      <w:r>
        <w:rPr>
          <w:rFonts w:ascii="Times New Roman" w:hAnsi="Times New Roman"/>
          <w:color w:val="000000"/>
          <w:sz w:val="22"/>
          <w:szCs w:val="22"/>
        </w:rPr>
        <w:t xml:space="preserve">на на право заключени</w:t>
      </w:r>
      <w:r>
        <w:rPr>
          <w:rFonts w:ascii="Times New Roman" w:hAnsi="Times New Roman"/>
          <w:color w:val="000000"/>
          <w:sz w:val="22"/>
          <w:szCs w:val="22"/>
        </w:rPr>
        <w:t xml:space="preserve">я договора аренды земельного участка, государственная собственность на который не разграничена, расположенного по адресу: Российская Федерация, Костромская область, городской округ город Кострома, город Кострома, проезд Апраксинский, земельный участок 7».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53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3. Сведения о предмете аукциона: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53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Лот № 1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адрес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: </w:t>
      </w:r>
      <w:r>
        <w:rPr>
          <w:rFonts w:ascii="Times New Roman" w:hAnsi="Times New Roman"/>
          <w:color w:val="000000"/>
          <w:sz w:val="22"/>
          <w:szCs w:val="22"/>
        </w:rPr>
        <w:t xml:space="preserve">Российская Федерация, Костромская область, городской округ город Кострома, город Кострома, проезд Апраксинский, земельный участок 7</w:t>
      </w:r>
      <w:r>
        <w:rPr>
          <w:rFonts w:ascii="Times New Roman" w:hAnsi="Times New Roman" w:cs="Times New Roman"/>
          <w:sz w:val="22"/>
          <w:szCs w:val="22"/>
        </w:rPr>
        <w:t xml:space="preserve">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площадь: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2412 </w:t>
      </w:r>
      <w:r>
        <w:rPr>
          <w:rFonts w:ascii="Times New Roman" w:hAnsi="Times New Roman" w:cs="Times New Roman"/>
          <w:sz w:val="22"/>
          <w:szCs w:val="22"/>
        </w:rPr>
        <w:t xml:space="preserve">к</w:t>
      </w:r>
      <w:r>
        <w:rPr>
          <w:rFonts w:ascii="Times New Roman" w:hAnsi="Times New Roman" w:cs="Times New Roman"/>
          <w:sz w:val="22"/>
          <w:szCs w:val="22"/>
        </w:rPr>
        <w:t xml:space="preserve">в.м</w:t>
      </w:r>
      <w:r>
        <w:rPr>
          <w:rFonts w:ascii="Times New Roman" w:hAnsi="Times New Roman" w:cs="Times New Roman"/>
          <w:sz w:val="22"/>
          <w:szCs w:val="22"/>
        </w:rPr>
        <w:t xml:space="preserve">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кадастровый номер: 44:27:020119</w:t>
      </w:r>
      <w:r>
        <w:rPr>
          <w:rFonts w:ascii="Times New Roman" w:hAnsi="Times New Roman" w:cs="Times New Roman"/>
          <w:sz w:val="22"/>
          <w:szCs w:val="22"/>
        </w:rPr>
        <w:t xml:space="preserve">:</w:t>
      </w:r>
      <w:r>
        <w:rPr>
          <w:rFonts w:ascii="Times New Roman" w:hAnsi="Times New Roman" w:cs="Times New Roman"/>
          <w:sz w:val="22"/>
          <w:szCs w:val="22"/>
        </w:rPr>
        <w:t xml:space="preserve">162;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категория земель: земли населенных пунктов;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rFonts w:ascii="Times New Roman" w:hAnsi="Times New Roman" w:cs="Times New Roman"/>
          <w:sz w:val="22"/>
          <w:szCs w:val="22"/>
          <w14:ligatures w14:val="none"/>
        </w:rPr>
      </w:pPr>
      <w:r>
        <w:rPr>
          <w:rFonts w:ascii="Times New Roman" w:hAnsi="Times New Roman" w:cs="Times New Roman"/>
          <w:sz w:val="22"/>
          <w:szCs w:val="22"/>
        </w:rPr>
        <w:t xml:space="preserve">- разрешенное использова</w:t>
      </w:r>
      <w:r>
        <w:rPr>
          <w:rFonts w:ascii="Times New Roman" w:hAnsi="Times New Roman" w:cs="Times New Roman"/>
          <w:sz w:val="22"/>
          <w:szCs w:val="22"/>
        </w:rPr>
        <w:t xml:space="preserve">ние: </w:t>
      </w:r>
      <w:r>
        <w:rPr>
          <w:rFonts w:ascii="Times New Roman" w:hAnsi="Times New Roman" w:cs="Times New Roman"/>
          <w:sz w:val="22"/>
          <w:szCs w:val="22"/>
        </w:rPr>
        <w:t xml:space="preserve">дошкольное, начальное и среднее общее образование, бытовое обслуживание, спорт, коммунальное обслуживание, социальное обслуживание</w:t>
      </w:r>
      <w:r>
        <w:rPr>
          <w:rFonts w:ascii="Times New Roman" w:hAnsi="Times New Roman" w:cs="Times New Roman"/>
          <w:sz w:val="22"/>
          <w:szCs w:val="22"/>
        </w:rPr>
        <w:t xml:space="preserve">;</w:t>
      </w:r>
      <w:r>
        <w:rPr>
          <w:rFonts w:ascii="Times New Roman" w:hAnsi="Times New Roman" w:cs="Times New Roman"/>
          <w:sz w:val="22"/>
          <w:szCs w:val="22"/>
          <w14:ligatures w14:val="none"/>
        </w:rPr>
      </w:r>
      <w:r>
        <w:rPr>
          <w:rFonts w:ascii="Times New Roman" w:hAnsi="Times New Roman" w:cs="Times New Roman"/>
          <w:sz w:val="22"/>
          <w:szCs w:val="22"/>
          <w14:ligatures w14:val="none"/>
        </w:rPr>
      </w:r>
    </w:p>
    <w:p>
      <w:pPr>
        <w:ind w:firstLine="709"/>
        <w:jc w:val="both"/>
        <w:rPr>
          <w:rFonts w:ascii="Times New Roman" w:hAnsi="Times New Roman" w:cs="Times New Roman"/>
          <w:sz w:val="22"/>
          <w:szCs w:val="22"/>
          <w:highlight w:val="none"/>
          <w14:ligatures w14:val="none"/>
        </w:rPr>
      </w:pPr>
      <w:r>
        <w:rPr>
          <w:rFonts w:ascii="Times New Roman" w:hAnsi="Times New Roman" w:cs="Times New Roman"/>
          <w:sz w:val="22"/>
          <w:szCs w:val="22"/>
          <w:highlight w:val="white"/>
        </w:rPr>
        <w:t xml:space="preserve">- обременения и ограничения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: участок расположен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 в 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приаэродромной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 территории аэродрома Кострома (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Сокеркино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) (зона с особыми условиями использования территории с реестровым номером 44:00-6.587), третьей, четвертой, пятой и шестой 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подзонах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 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приаэродромной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 территории аэродрома Кострома (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Сокеркино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) (зоны с особыми условиями использования территории с реестровыми номерами 44:00-6.583; 44:00-6.584; 44:00-6.585; 44:00-6.593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), </w:t>
      </w:r>
      <w:r>
        <w:rPr>
          <w:rFonts w:ascii="Times New Roman" w:hAnsi="Times New Roman" w:cs="Times New Roman"/>
          <w:sz w:val="22"/>
          <w:szCs w:val="22"/>
          <w:highlight w:val="none"/>
        </w:rPr>
        <w:t xml:space="preserve">особые условия использования и режим хозяйственной деятельности в охранных зонах инженерных коммуник</w:t>
      </w:r>
      <w:r>
        <w:rPr>
          <w:rFonts w:ascii="Times New Roman" w:hAnsi="Times New Roman" w:cs="Times New Roman"/>
          <w:sz w:val="22"/>
          <w:szCs w:val="22"/>
          <w:highlight w:val="none"/>
        </w:rPr>
        <w:t xml:space="preserve">аций;</w:t>
      </w:r>
      <w:r>
        <w:rPr>
          <w:rFonts w:ascii="Times New Roman" w:hAnsi="Times New Roman" w:cs="Times New Roman"/>
          <w:sz w:val="22"/>
          <w:szCs w:val="22"/>
          <w:highlight w:val="none"/>
        </w:rPr>
        <w:t xml:space="preserve"> </w:t>
      </w:r>
      <w:r>
        <w:rPr>
          <w:rFonts w:ascii="Times New Roman" w:hAnsi="Times New Roman" w:cs="Times New Roman"/>
          <w:sz w:val="22"/>
          <w:szCs w:val="22"/>
          <w:highlight w:val="none"/>
          <w14:ligatures w14:val="none"/>
        </w:rPr>
      </w:r>
      <w:r>
        <w:rPr>
          <w:rFonts w:ascii="Times New Roman" w:hAnsi="Times New Roman" w:cs="Times New Roman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14:ligatures w14:val="none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  <w:t xml:space="preserve">- па</w:t>
      </w:r>
      <w:r>
        <w:rPr>
          <w:rFonts w:ascii="Times New Roman" w:hAnsi="Times New Roman"/>
          <w:sz w:val="22"/>
          <w:szCs w:val="22"/>
        </w:rPr>
        <w:t xml:space="preserve">раметры разрешенного строитель</w:t>
      </w:r>
      <w:r>
        <w:rPr>
          <w:rFonts w:ascii="Times New Roman" w:hAnsi="Times New Roman"/>
          <w:sz w:val="22"/>
          <w:szCs w:val="22"/>
        </w:rPr>
        <w:t xml:space="preserve">с</w:t>
      </w:r>
      <w:r>
        <w:rPr>
          <w:rFonts w:ascii="Times New Roman" w:hAnsi="Times New Roman"/>
          <w:sz w:val="22"/>
          <w:szCs w:val="22"/>
        </w:rPr>
        <w:t xml:space="preserve">тва: </w:t>
      </w:r>
      <w:r>
        <w:rPr>
          <w:rFonts w:ascii="Times New Roman" w:hAnsi="Times New Roman"/>
          <w:sz w:val="22"/>
          <w:szCs w:val="22"/>
          <w14:ligatures w14:val="none"/>
        </w:rPr>
      </w:r>
      <w:r>
        <w:rPr>
          <w:rFonts w:ascii="Times New Roman" w:hAnsi="Times New Roman"/>
          <w:sz w:val="22"/>
          <w:szCs w:val="22"/>
          <w14:ligatures w14:val="none"/>
        </w:rPr>
      </w:r>
    </w:p>
    <w:p>
      <w:pPr>
        <w:ind w:firstLine="709"/>
        <w:jc w:val="both"/>
        <w:rPr>
          <w:sz w:val="22"/>
          <w:szCs w:val="22"/>
          <w:highlight w:val="none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  <w:t xml:space="preserve">дошкольное, начальное и среднее общее образовани</w:t>
      </w:r>
      <w:r>
        <w:rPr>
          <w:rFonts w:ascii="Times New Roman" w:hAnsi="Times New Roman" w:cs="Times New Roman"/>
          <w:sz w:val="22"/>
          <w:szCs w:val="22"/>
        </w:rPr>
        <w:t xml:space="preserve">е: максимальный процент застройки земельного участка – 30; предельное количество этажей – 3; минимальный отступ от границ земельного участка – 3 м;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r>
      <w:r>
        <w:rPr>
          <w:rFonts w:ascii="Times New Roman" w:hAnsi="Times New Roman" w:cs="Times New Roman"/>
          <w:sz w:val="22"/>
          <w:szCs w:val="22"/>
        </w:rPr>
        <w:t xml:space="preserve">бытовое обслуживание</w:t>
      </w: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 xml:space="preserve">максимальный процент застройки земельного участка – 50; </w:t>
      </w:r>
      <w:r>
        <w:rPr>
          <w:rFonts w:ascii="Times New Roman" w:hAnsi="Times New Roman" w:cs="Times New Roman"/>
          <w:sz w:val="22"/>
          <w:szCs w:val="22"/>
        </w:rPr>
        <w:t xml:space="preserve">предельное количество этажей – 3</w:t>
      </w: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  <w:t xml:space="preserve">; </w:t>
      </w:r>
      <w:r>
        <w:rPr>
          <w:rFonts w:ascii="Times New Roman" w:hAnsi="Times New Roman" w:cs="Times New Roman"/>
          <w:sz w:val="22"/>
          <w:szCs w:val="22"/>
        </w:rPr>
        <w:t xml:space="preserve">предельная высота зданий – 10,5 м;</w:t>
      </w:r>
      <w:r>
        <w:rPr>
          <w:rFonts w:ascii="Times New Roman" w:hAnsi="Times New Roman" w:cs="Times New Roman"/>
          <w:sz w:val="22"/>
          <w:szCs w:val="22"/>
        </w:rPr>
        <w:t xml:space="preserve"> минимальный отступ от границ земельного участка – 3 м;</w:t>
      </w: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r>
      <w:r>
        <w:rPr>
          <w:rFonts w:ascii="Times New Roman" w:hAnsi="Times New Roman" w:cs="Times New Roman"/>
          <w:sz w:val="22"/>
          <w:szCs w:val="22"/>
        </w:rPr>
        <w:t xml:space="preserve">спорт</w:t>
      </w: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 xml:space="preserve">максимальный процент застройки земельного участка – 40; минимальный отступ от границ земельного участка – 3 м;</w:t>
      </w:r>
      <w:r>
        <w:rPr>
          <w:rFonts w:ascii="Times New Roman" w:hAnsi="Times New Roman" w:cs="Times New Roman"/>
          <w:sz w:val="22"/>
          <w:szCs w:val="22"/>
        </w:rPr>
        <w:t xml:space="preserve"> предельное количество этажей – 3</w:t>
      </w: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  <w:t xml:space="preserve">; </w:t>
      </w:r>
      <w:r>
        <w:rPr>
          <w:rFonts w:ascii="Times New Roman" w:hAnsi="Times New Roman" w:cs="Times New Roman"/>
          <w:sz w:val="22"/>
          <w:szCs w:val="22"/>
        </w:rPr>
        <w:t xml:space="preserve">предельная высота зданий – 10,5 м;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r>
      <w:r>
        <w:rPr>
          <w:rFonts w:ascii="Times New Roman" w:hAnsi="Times New Roman" w:cs="Times New Roman"/>
          <w:sz w:val="22"/>
          <w:szCs w:val="22"/>
        </w:rPr>
        <w:t xml:space="preserve">коммунальное обслуживание</w:t>
      </w: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 xml:space="preserve">максимальный процент застройки земельного участка – 100; минимальный отступ от границ земельного участка – 0 м;</w:t>
      </w:r>
      <w:r>
        <w:rPr>
          <w:rFonts w:ascii="Times New Roman" w:hAnsi="Times New Roman" w:cs="Times New Roman"/>
          <w:sz w:val="22"/>
          <w:szCs w:val="22"/>
        </w:rPr>
        <w:t xml:space="preserve"> предельное количество этажей – 2</w:t>
      </w: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  <w:t xml:space="preserve">; </w:t>
      </w:r>
      <w:r>
        <w:rPr>
          <w:rFonts w:ascii="Times New Roman" w:hAnsi="Times New Roman" w:cs="Times New Roman"/>
          <w:sz w:val="22"/>
          <w:szCs w:val="22"/>
        </w:rPr>
        <w:t xml:space="preserve">предельная высота зданий – 10,5 м;</w:t>
      </w: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r>
    </w:p>
    <w:p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r>
      <w:r>
        <w:rPr>
          <w:rFonts w:ascii="Times New Roman" w:hAnsi="Times New Roman" w:cs="Times New Roman"/>
          <w:sz w:val="22"/>
          <w:szCs w:val="22"/>
        </w:rPr>
        <w:t xml:space="preserve">социальное обслуживание</w:t>
      </w: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 xml:space="preserve">максимальный процент застройки земельного участка –40; минимальный отступ от границ земельного участка – 3 м;</w:t>
      </w:r>
      <w:r>
        <w:rPr>
          <w:rFonts w:ascii="Times New Roman" w:hAnsi="Times New Roman" w:cs="Times New Roman"/>
          <w:sz w:val="22"/>
          <w:szCs w:val="22"/>
        </w:rPr>
        <w:t xml:space="preserve"> предельное количество этажей – 2</w:t>
      </w: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  <w:t xml:space="preserve">; </w:t>
      </w:r>
      <w:r>
        <w:rPr>
          <w:rFonts w:ascii="Times New Roman" w:hAnsi="Times New Roman" w:cs="Times New Roman"/>
          <w:sz w:val="22"/>
          <w:szCs w:val="22"/>
        </w:rPr>
        <w:t xml:space="preserve">предельная высота зданий – 11 м;</w:t>
      </w: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r>
    </w:p>
    <w:p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- срок аренды земельного участка: 4 года 10 месяцев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информация о возможности подключения (технологического присоединения): водоснабжение, водоотведение, ливневая канализация от МУП города Костромы «</w:t>
      </w:r>
      <w:r>
        <w:rPr>
          <w:rFonts w:ascii="Times New Roman" w:hAnsi="Times New Roman" w:cs="Times New Roman"/>
          <w:sz w:val="22"/>
          <w:szCs w:val="22"/>
        </w:rPr>
        <w:t xml:space="preserve">Костромагорводоканал</w:t>
      </w:r>
      <w:r>
        <w:rPr>
          <w:rFonts w:ascii="Times New Roman" w:hAnsi="Times New Roman" w:cs="Times New Roman"/>
          <w:sz w:val="22"/>
          <w:szCs w:val="22"/>
        </w:rPr>
        <w:t xml:space="preserve">» от </w:t>
      </w:r>
      <w:r>
        <w:rPr>
          <w:rFonts w:ascii="Times New Roman" w:hAnsi="Times New Roman" w:cs="Times New Roman"/>
          <w:sz w:val="22"/>
          <w:szCs w:val="22"/>
        </w:rPr>
        <w:t xml:space="preserve">28.0</w:t>
      </w:r>
      <w:r>
        <w:rPr>
          <w:rFonts w:ascii="Times New Roman" w:hAnsi="Times New Roman" w:cs="Times New Roman"/>
          <w:sz w:val="22"/>
          <w:szCs w:val="22"/>
        </w:rPr>
        <w:t xml:space="preserve">6.2024 № исх.02.11/</w:t>
      </w:r>
      <w:r>
        <w:rPr>
          <w:rFonts w:ascii="Times New Roman" w:hAnsi="Times New Roman" w:cs="Times New Roman"/>
          <w:sz w:val="22"/>
          <w:szCs w:val="22"/>
        </w:rPr>
        <w:t xml:space="preserve">4434д, от 28</w:t>
      </w:r>
      <w:r>
        <w:rPr>
          <w:rFonts w:ascii="Times New Roman" w:hAnsi="Times New Roman" w:cs="Times New Roman"/>
          <w:sz w:val="22"/>
          <w:szCs w:val="22"/>
        </w:rPr>
        <w:t xml:space="preserve">.0</w:t>
      </w:r>
      <w:r>
        <w:rPr>
          <w:rFonts w:ascii="Times New Roman" w:hAnsi="Times New Roman" w:cs="Times New Roman"/>
          <w:sz w:val="22"/>
          <w:szCs w:val="22"/>
        </w:rPr>
        <w:t xml:space="preserve">6.2024 № исх.02.11/</w:t>
      </w:r>
      <w:r>
        <w:rPr>
          <w:rFonts w:ascii="Times New Roman" w:hAnsi="Times New Roman" w:cs="Times New Roman"/>
          <w:sz w:val="22"/>
          <w:szCs w:val="22"/>
        </w:rPr>
        <w:t xml:space="preserve">4451д; </w:t>
      </w:r>
      <w:r>
        <w:rPr>
          <w:rFonts w:ascii="Times New Roman" w:hAnsi="Times New Roman" w:cs="Times New Roman"/>
          <w:sz w:val="22"/>
          <w:szCs w:val="22"/>
        </w:rPr>
        <w:t xml:space="preserve">газоснабжение от ООО «Газпром газораспределение Кострома» от </w:t>
      </w:r>
      <w:r>
        <w:rPr>
          <w:rFonts w:ascii="Times New Roman" w:hAnsi="Times New Roman" w:cs="Times New Roman"/>
          <w:sz w:val="22"/>
          <w:szCs w:val="22"/>
        </w:rPr>
        <w:t xml:space="preserve">02.0</w:t>
      </w:r>
      <w:r>
        <w:rPr>
          <w:rFonts w:ascii="Times New Roman" w:hAnsi="Times New Roman" w:cs="Times New Roman"/>
          <w:sz w:val="22"/>
          <w:szCs w:val="22"/>
        </w:rPr>
        <w:t xml:space="preserve">7.2024 №ИС-</w:t>
      </w:r>
      <w:r>
        <w:rPr>
          <w:rFonts w:ascii="Times New Roman" w:hAnsi="Times New Roman" w:cs="Times New Roman"/>
          <w:sz w:val="22"/>
          <w:szCs w:val="22"/>
        </w:rPr>
        <w:t xml:space="preserve">15/</w:t>
      </w:r>
      <w:r>
        <w:rPr>
          <w:rFonts w:ascii="Times New Roman" w:hAnsi="Times New Roman" w:cs="Times New Roman"/>
          <w:sz w:val="22"/>
          <w:szCs w:val="22"/>
        </w:rPr>
        <w:t xml:space="preserve">3781, теплоснабжение от ПАО «ТГК-2» </w:t>
      </w:r>
      <w:r>
        <w:rPr>
          <w:rFonts w:ascii="Times New Roman" w:hAnsi="Times New Roman" w:cs="Times New Roman"/>
          <w:sz w:val="22"/>
          <w:szCs w:val="22"/>
        </w:rPr>
        <w:t xml:space="preserve">от</w:t>
      </w:r>
      <w:r>
        <w:rPr>
          <w:rFonts w:ascii="Times New Roman" w:hAnsi="Times New Roman" w:cs="Times New Roman"/>
          <w:sz w:val="22"/>
          <w:szCs w:val="22"/>
        </w:rPr>
        <w:t xml:space="preserve"> 27.</w:t>
      </w:r>
      <w:r>
        <w:rPr>
          <w:rFonts w:ascii="Times New Roman" w:hAnsi="Times New Roman" w:cs="Times New Roman"/>
          <w:sz w:val="22"/>
          <w:szCs w:val="22"/>
        </w:rPr>
        <w:t xml:space="preserve">06.2024 № 4201/838-2024</w:t>
      </w:r>
      <w:r>
        <w:rPr>
          <w:rFonts w:ascii="Times New Roman" w:hAnsi="Times New Roman" w:cs="Times New Roman"/>
          <w:sz w:val="22"/>
          <w:szCs w:val="22"/>
        </w:rPr>
        <w:t xml:space="preserve">; от МУП г. Костромы «Городские сети» от 05.07.2024 № 13-01/02867;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начальный размер ежегодной арендной платы:</w:t>
      </w:r>
      <w:r>
        <w:rPr>
          <w:rFonts w:ascii="Times New Roman" w:hAnsi="Times New Roman" w:cs="Times New Roman"/>
          <w:sz w:val="22"/>
          <w:szCs w:val="22"/>
        </w:rPr>
        <w:t xml:space="preserve"> 897 000 </w:t>
      </w:r>
      <w:r>
        <w:rPr>
          <w:rFonts w:ascii="Times New Roman" w:hAnsi="Times New Roman" w:cs="Times New Roman"/>
          <w:sz w:val="22"/>
          <w:szCs w:val="22"/>
        </w:rPr>
        <w:t xml:space="preserve">(</w:t>
      </w:r>
      <w:r>
        <w:rPr>
          <w:rFonts w:ascii="Times New Roman" w:hAnsi="Times New Roman" w:cs="Times New Roman"/>
          <w:sz w:val="22"/>
          <w:szCs w:val="22"/>
        </w:rPr>
        <w:t xml:space="preserve">Восемьсот девяносто семь тысяч) рублей;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шаг аукциона:</w:t>
      </w:r>
      <w:r>
        <w:rPr>
          <w:rFonts w:ascii="Times New Roman" w:hAnsi="Times New Roman" w:cs="Times New Roman"/>
          <w:sz w:val="22"/>
          <w:szCs w:val="22"/>
        </w:rPr>
        <w:t xml:space="preserve"> 26 910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(</w:t>
      </w:r>
      <w:r>
        <w:rPr>
          <w:rFonts w:ascii="Times New Roman" w:hAnsi="Times New Roman" w:cs="Times New Roman"/>
          <w:sz w:val="22"/>
          <w:szCs w:val="22"/>
        </w:rPr>
        <w:t xml:space="preserve">Двадцать шесть тысяч девятьсот десять) рублей</w:t>
      </w:r>
      <w:r>
        <w:rPr>
          <w:rFonts w:ascii="Times New Roman" w:hAnsi="Times New Roman" w:cs="Times New Roman"/>
          <w:sz w:val="22"/>
          <w:szCs w:val="22"/>
        </w:rPr>
        <w:t xml:space="preserve">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highlight w:val="none"/>
          <w14:ligatures w14:val="none"/>
        </w:rPr>
      </w:pPr>
      <w:r>
        <w:rPr>
          <w:rFonts w:ascii="Times New Roman" w:hAnsi="Times New Roman" w:cs="Times New Roman"/>
          <w:sz w:val="22"/>
          <w:szCs w:val="22"/>
        </w:rPr>
        <w:t xml:space="preserve">- размер задатка: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897 000 </w:t>
      </w:r>
      <w:r>
        <w:rPr>
          <w:rFonts w:ascii="Times New Roman" w:hAnsi="Times New Roman" w:cs="Times New Roman"/>
          <w:sz w:val="22"/>
          <w:szCs w:val="22"/>
        </w:rPr>
        <w:t xml:space="preserve">(</w:t>
      </w:r>
      <w:r>
        <w:rPr>
          <w:rFonts w:ascii="Times New Roman" w:hAnsi="Times New Roman" w:cs="Times New Roman"/>
          <w:sz w:val="22"/>
          <w:szCs w:val="22"/>
        </w:rPr>
        <w:t xml:space="preserve">Восемьсот девяносто семь тысяч) рублей</w:t>
      </w:r>
      <w:r>
        <w:rPr>
          <w:rFonts w:ascii="Times New Roman" w:hAnsi="Times New Roman" w:cs="Times New Roman"/>
          <w:sz w:val="22"/>
          <w:szCs w:val="22"/>
        </w:rPr>
        <w:t xml:space="preserve">.</w:t>
      </w: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highlight w:val="none"/>
          <w14:ligatures w14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highlight w:val="none"/>
          <w14:ligatures w14:val="none"/>
        </w:rPr>
      </w:r>
    </w:p>
    <w:p>
      <w:pPr>
        <w:pStyle w:val="753"/>
        <w:ind w:firstLine="709"/>
        <w:jc w:val="both"/>
        <w:rPr>
          <w:rFonts w:ascii="Times New Roman" w:hAnsi="Times New Roman"/>
          <w:sz w:val="22"/>
          <w:szCs w:val="22"/>
          <w:highlight w:val="white"/>
        </w:rPr>
      </w:pPr>
      <w:r>
        <w:rPr>
          <w:rFonts w:ascii="Times New Roman" w:hAnsi="Times New Roman"/>
          <w:sz w:val="22"/>
          <w:szCs w:val="22"/>
          <w:highlight w:val="white"/>
        </w:rPr>
        <w:t xml:space="preserve">4. Организатор аукцио</w:t>
      </w:r>
      <w:r>
        <w:rPr>
          <w:rFonts w:ascii="Times New Roman" w:hAnsi="Times New Roman"/>
          <w:sz w:val="22"/>
          <w:szCs w:val="22"/>
          <w:highlight w:val="white"/>
        </w:rPr>
        <w:t xml:space="preserve">на – Управление имущественных и земельных отношений Администрации города Костромы; место нахождения: 156005, Костромская область, город Кострома, площадь Конституции, 2; телефон (4942) 42-68-41, 44-07-64; e-mail: uizo@gradkostroma.ru (далее – организатор).</w:t>
      </w:r>
      <w:r>
        <w:rPr>
          <w:rFonts w:ascii="Times New Roman" w:hAnsi="Times New Roman"/>
          <w:sz w:val="22"/>
          <w:szCs w:val="22"/>
          <w:highlight w:val="white"/>
        </w:rPr>
      </w:r>
      <w:r>
        <w:rPr>
          <w:rFonts w:ascii="Times New Roman" w:hAnsi="Times New Roman"/>
          <w:sz w:val="22"/>
          <w:szCs w:val="22"/>
          <w:highlight w:val="whit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14:ligatures w14:val="none"/>
        </w:rPr>
      </w:pPr>
      <w:r>
        <w:rPr>
          <w:rFonts w:ascii="Times New Roman" w:hAnsi="Times New Roman"/>
          <w:sz w:val="22"/>
          <w:szCs w:val="22"/>
          <w:highlight w:val="white"/>
        </w:rPr>
        <w:t xml:space="preserve">5. Заявка </w:t>
      </w:r>
      <w:r>
        <w:rPr>
          <w:rFonts w:ascii="Times New Roman" w:hAnsi="Times New Roman" w:eastAsia="Calibri"/>
          <w:sz w:val="22"/>
          <w:szCs w:val="22"/>
          <w:highlight w:val="white"/>
        </w:rPr>
        <w:t xml:space="preserve">(Приложение 1) </w:t>
      </w:r>
      <w:r>
        <w:rPr>
          <w:rFonts w:ascii="Times New Roman" w:hAnsi="Times New Roman"/>
          <w:sz w:val="22"/>
          <w:szCs w:val="22"/>
          <w:highlight w:val="white"/>
        </w:rPr>
        <w:t xml:space="preserve">на участие в электронном аукционе с указанием </w:t>
      </w:r>
      <w:r>
        <w:rPr>
          <w:rFonts w:ascii="Times New Roman" w:hAnsi="Times New Roman"/>
          <w:sz w:val="22"/>
          <w:szCs w:val="22"/>
        </w:rPr>
        <w:t xml:space="preserve">банковских реквизитов счета для возврата задатка направляется оператору электронной площадки </w:t>
      </w:r>
      <w:r>
        <w:rPr>
          <w:rFonts w:ascii="Times New Roman" w:hAnsi="Times New Roman" w:eastAsia="Calibri"/>
          <w:sz w:val="22"/>
          <w:szCs w:val="22"/>
        </w:rPr>
        <w:t xml:space="preserve">на сайте </w:t>
      </w:r>
      <w:hyperlink r:id="rId9" w:tooltip="https://www.rts-tender.ru/" w:history="1">
        <w:r>
          <w:rPr>
            <w:rStyle w:val="781"/>
            <w:rFonts w:ascii="Times New Roman" w:hAnsi="Times New Roman" w:eastAsia="Calibri"/>
            <w:sz w:val="22"/>
            <w:szCs w:val="22"/>
          </w:rPr>
          <w:t xml:space="preserve">https://www.rts-tender.ru/</w:t>
        </w:r>
      </w:hyperlink>
      <w:r>
        <w:rPr>
          <w:rFonts w:ascii="Times New Roman" w:hAnsi="Times New Roman" w:eastAsia="Calibri"/>
          <w:sz w:val="22"/>
          <w:szCs w:val="22"/>
        </w:rPr>
        <w:t xml:space="preserve"> (ООО «РТС-тендер») </w:t>
      </w:r>
      <w:r>
        <w:rPr>
          <w:rFonts w:ascii="Times New Roman" w:hAnsi="Times New Roman"/>
          <w:sz w:val="22"/>
          <w:szCs w:val="22"/>
        </w:rPr>
        <w:t xml:space="preserve">в форме электронного документа с приложением документов. Заявка на участие в электронном аукционе, а также прилагаемые к ней документы подписываются усиленной квалифицированной электронной подписью заяв</w:t>
      </w:r>
      <w:r>
        <w:rPr>
          <w:rFonts w:ascii="Times New Roman" w:hAnsi="Times New Roman"/>
          <w:sz w:val="22"/>
          <w:szCs w:val="22"/>
        </w:rPr>
        <w:t xml:space="preserve">ителя.</w:t>
      </w:r>
      <w:r>
        <w:rPr>
          <w:rFonts w:ascii="Times New Roman" w:hAnsi="Times New Roman"/>
          <w:sz w:val="22"/>
          <w:szCs w:val="22"/>
          <w14:ligatures w14:val="none"/>
        </w:rPr>
      </w:r>
      <w:r>
        <w:rPr>
          <w:rFonts w:ascii="Times New Roman" w:hAnsi="Times New Roman"/>
          <w:sz w:val="22"/>
          <w:szCs w:val="22"/>
          <w14:ligatures w14:val="none"/>
        </w:rPr>
      </w:r>
    </w:p>
    <w:p>
      <w:pPr>
        <w:pStyle w:val="820"/>
        <w:ind w:firstLine="709"/>
        <w:jc w:val="both"/>
        <w:rPr>
          <w:rFonts w:ascii="Times New Roman" w:hAnsi="Times New Roman" w:eastAsia="Calibri"/>
          <w:sz w:val="22"/>
          <w:szCs w:val="22"/>
          <w:highlight w:val="none"/>
        </w:rPr>
      </w:pPr>
      <w:r>
        <w:rPr>
          <w:rFonts w:ascii="Times New Roman" w:hAnsi="Times New Roman" w:eastAsia="Calibri"/>
          <w:sz w:val="22"/>
          <w:szCs w:val="22"/>
          <w:lang w:eastAsia="ru-RU"/>
        </w:rPr>
        <w:t xml:space="preserve">К заявке на участие прилагаются следующие документы:</w:t>
      </w:r>
      <w:r>
        <w:rPr>
          <w:rFonts w:ascii="Times New Roman" w:hAnsi="Times New Roman" w:eastAsia="Calibri"/>
          <w:sz w:val="22"/>
          <w:szCs w:val="22"/>
          <w:highlight w:val="none"/>
        </w:rPr>
      </w:r>
      <w:r>
        <w:rPr>
          <w:rFonts w:ascii="Times New Roman" w:hAnsi="Times New Roman" w:eastAsia="Calibri"/>
          <w:sz w:val="22"/>
          <w:szCs w:val="22"/>
          <w:highlight w:val="none"/>
        </w:rPr>
      </w:r>
    </w:p>
    <w:p>
      <w:pPr>
        <w:pStyle w:val="82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eastAsia="Calibri"/>
          <w:sz w:val="22"/>
          <w:szCs w:val="22"/>
          <w:lang w:eastAsia="ru-RU"/>
        </w:rPr>
        <w:t xml:space="preserve">- копии документов, удостоверяющих личность (для физических лиц);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82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eastAsia="Calibri"/>
          <w:sz w:val="22"/>
          <w:szCs w:val="22"/>
          <w:lang w:eastAsia="ru-RU"/>
        </w:rPr>
        <w:t xml:space="preserve">- документ, подтверждающий полномочия представителя претендента, если с заявкой обращается представитель претендента.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82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eastAsia="Calibri"/>
          <w:sz w:val="22"/>
          <w:szCs w:val="22"/>
          <w:lang w:eastAsia="ru-RU"/>
        </w:rPr>
        <w:t xml:space="preserve">- документы, подтверждающие внесение задатка, представление которых признается заключением соглашения о задатке.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82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eastAsia="Calibri"/>
          <w:sz w:val="22"/>
          <w:szCs w:val="22"/>
          <w:lang w:eastAsia="ru-RU"/>
        </w:rPr>
        <w:t xml:space="preserve">В случа</w:t>
      </w:r>
      <w:r>
        <w:rPr>
          <w:rFonts w:ascii="Times New Roman" w:hAnsi="Times New Roman" w:eastAsia="Calibri"/>
          <w:sz w:val="22"/>
          <w:szCs w:val="22"/>
          <w:lang w:eastAsia="ru-RU"/>
        </w:rPr>
        <w:t xml:space="preserve">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82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eastAsia="Calibri"/>
          <w:sz w:val="22"/>
          <w:szCs w:val="22"/>
          <w:lang w:eastAsia="ru-RU"/>
        </w:rPr>
        <w:t xml:space="preserve">Одно лицо имеет право подать только одну заявку </w:t>
      </w:r>
      <w:r>
        <w:rPr>
          <w:rFonts w:ascii="Times New Roman" w:hAnsi="Times New Roman"/>
          <w:bCs/>
          <w:sz w:val="22"/>
          <w:szCs w:val="22"/>
        </w:rPr>
        <w:t xml:space="preserve">на один ЛОТ</w:t>
      </w:r>
      <w:r>
        <w:rPr>
          <w:rFonts w:ascii="Times New Roman" w:hAnsi="Times New Roman" w:eastAsia="Calibri"/>
          <w:sz w:val="22"/>
          <w:szCs w:val="22"/>
          <w:lang w:eastAsia="ru-RU"/>
        </w:rPr>
        <w:t xml:space="preserve">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82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eastAsia="Calibri"/>
          <w:sz w:val="22"/>
          <w:szCs w:val="22"/>
          <w:lang w:eastAsia="ru-RU"/>
        </w:rPr>
        <w:t xml:space="preserve">Заявитель вправе не позднее даты и времени окончания приема заявок, указанных в извещении, отозвать заявку путем направления уведомления об отзыве заявки на электронную площадку.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820"/>
        <w:ind w:firstLine="709"/>
        <w:jc w:val="both"/>
        <w:rPr>
          <w:rFonts w:ascii="Times New Roman" w:hAnsi="Times New Roman"/>
          <w:sz w:val="22"/>
          <w:szCs w:val="22"/>
          <w:highlight w:val="white"/>
        </w:rPr>
      </w:pPr>
      <w:r>
        <w:rPr>
          <w:rFonts w:ascii="Times New Roman" w:hAnsi="Times New Roman" w:eastAsia="Calibri"/>
          <w:b/>
          <w:sz w:val="22"/>
          <w:szCs w:val="22"/>
          <w:highlight w:val="white"/>
          <w:lang w:eastAsia="ru-RU"/>
        </w:rPr>
        <w:t xml:space="preserve">Д</w:t>
      </w:r>
      <w:r>
        <w:rPr>
          <w:rFonts w:ascii="Times New Roman" w:hAnsi="Times New Roman" w:eastAsia="Calibri"/>
          <w:b/>
          <w:sz w:val="22"/>
          <w:szCs w:val="22"/>
          <w:highlight w:val="white"/>
          <w:lang w:eastAsia="ru-RU"/>
        </w:rPr>
        <w:t xml:space="preserve">ата и время начала подачи заявок: 27 декабря</w:t>
      </w:r>
      <w:r>
        <w:rPr>
          <w:rFonts w:ascii="Times New Roman" w:hAnsi="Times New Roman" w:eastAsia="Calibri"/>
          <w:b/>
          <w:sz w:val="22"/>
          <w:szCs w:val="22"/>
          <w:highlight w:val="white"/>
          <w:lang w:eastAsia="ru-RU"/>
        </w:rPr>
        <w:t xml:space="preserve"> 2024 года с 10 час 00 мин. по местному времени.</w:t>
      </w:r>
      <w:r>
        <w:rPr>
          <w:rFonts w:ascii="Times New Roman" w:hAnsi="Times New Roman"/>
          <w:sz w:val="22"/>
          <w:szCs w:val="22"/>
          <w:highlight w:val="white"/>
        </w:rPr>
      </w:r>
      <w:r>
        <w:rPr>
          <w:rFonts w:ascii="Times New Roman" w:hAnsi="Times New Roman"/>
          <w:sz w:val="22"/>
          <w:szCs w:val="22"/>
          <w:highlight w:val="white"/>
        </w:rPr>
      </w:r>
    </w:p>
    <w:p>
      <w:pPr>
        <w:pStyle w:val="820"/>
        <w:ind w:firstLine="709"/>
        <w:jc w:val="both"/>
        <w:rPr>
          <w:rFonts w:ascii="Times New Roman" w:hAnsi="Times New Roman"/>
          <w:sz w:val="22"/>
          <w:szCs w:val="22"/>
          <w:highlight w:val="white"/>
        </w:rPr>
      </w:pPr>
      <w:r>
        <w:rPr>
          <w:rFonts w:ascii="Times New Roman" w:hAnsi="Times New Roman" w:eastAsia="Calibri"/>
          <w:b/>
          <w:sz w:val="22"/>
          <w:szCs w:val="22"/>
          <w:highlight w:val="white"/>
          <w:lang w:eastAsia="ru-RU"/>
        </w:rPr>
        <w:t xml:space="preserve">Дата и время окончания подачи заявок: 26 января</w:t>
      </w:r>
      <w:r>
        <w:rPr>
          <w:rFonts w:ascii="Times New Roman" w:hAnsi="Times New Roman" w:eastAsia="Calibri"/>
          <w:b/>
          <w:sz w:val="22"/>
          <w:szCs w:val="22"/>
          <w:highlight w:val="white"/>
          <w:lang w:eastAsia="ru-RU"/>
        </w:rPr>
        <w:t xml:space="preserve"> 202</w:t>
      </w:r>
      <w:r>
        <w:rPr>
          <w:rFonts w:ascii="Times New Roman" w:hAnsi="Times New Roman" w:eastAsia="Calibri"/>
          <w:b/>
          <w:sz w:val="22"/>
          <w:szCs w:val="22"/>
          <w:highlight w:val="white"/>
          <w:lang w:eastAsia="ru-RU"/>
        </w:rPr>
        <w:t xml:space="preserve">5 года в 18 час 00 мин. по местному времени.</w:t>
      </w:r>
      <w:r>
        <w:rPr>
          <w:rFonts w:ascii="Times New Roman" w:hAnsi="Times New Roman"/>
          <w:sz w:val="22"/>
          <w:szCs w:val="22"/>
          <w:highlight w:val="white"/>
        </w:rPr>
      </w:r>
      <w:r>
        <w:rPr>
          <w:rFonts w:ascii="Times New Roman" w:hAnsi="Times New Roman"/>
          <w:sz w:val="22"/>
          <w:szCs w:val="22"/>
          <w:highlight w:val="white"/>
        </w:rPr>
      </w:r>
    </w:p>
    <w:p>
      <w:pPr>
        <w:pStyle w:val="753"/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6. </w:t>
      </w:r>
      <w:r>
        <w:rPr>
          <w:rFonts w:ascii="Times New Roman" w:hAnsi="Times New Roman"/>
          <w:b/>
          <w:sz w:val="22"/>
          <w:szCs w:val="22"/>
          <w:shd w:val="clear" w:color="auto" w:fill="ffffff"/>
        </w:rPr>
        <w:t xml:space="preserve">Срок, место и порядок предоставления информационного сообщения</w:t>
      </w: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, электронный адрес сайта в информационно-телекоммуникационной сети Интернет </w:t>
      </w:r>
      <w:hyperlink r:id="rId10" w:tooltip="http://www.rts-tender.ru/" w:history="1">
        <w:r>
          <w:rPr>
            <w:rStyle w:val="781"/>
            <w:rFonts w:ascii="Times New Roman" w:hAnsi="Times New Roman"/>
            <w:sz w:val="22"/>
            <w:szCs w:val="22"/>
            <w:lang w:val="en-US"/>
          </w:rPr>
          <w:t xml:space="preserve">www</w:t>
        </w:r>
        <w:r>
          <w:rPr>
            <w:rStyle w:val="781"/>
            <w:rFonts w:ascii="Times New Roman" w:hAnsi="Times New Roman"/>
            <w:sz w:val="22"/>
            <w:szCs w:val="22"/>
          </w:rPr>
          <w:t xml:space="preserve">. </w:t>
        </w:r>
        <w:r>
          <w:rPr>
            <w:rStyle w:val="781"/>
            <w:rFonts w:ascii="Times New Roman" w:hAnsi="Times New Roman"/>
            <w:sz w:val="22"/>
            <w:szCs w:val="22"/>
            <w:lang w:val="en-US"/>
          </w:rPr>
          <w:t xml:space="preserve">i</w:t>
        </w:r>
        <w:r>
          <w:rPr>
            <w:rStyle w:val="781"/>
            <w:rFonts w:ascii="Times New Roman" w:hAnsi="Times New Roman"/>
            <w:sz w:val="22"/>
            <w:szCs w:val="22"/>
          </w:rPr>
          <w:t xml:space="preserve">.</w:t>
        </w:r>
        <w:r>
          <w:rPr>
            <w:rStyle w:val="781"/>
            <w:rFonts w:ascii="Times New Roman" w:hAnsi="Times New Roman"/>
            <w:sz w:val="22"/>
            <w:szCs w:val="22"/>
            <w:lang w:val="en-US"/>
          </w:rPr>
          <w:t xml:space="preserve">rts</w:t>
        </w:r>
        <w:r>
          <w:rPr>
            <w:rStyle w:val="781"/>
            <w:rFonts w:ascii="Times New Roman" w:hAnsi="Times New Roman"/>
            <w:sz w:val="22"/>
            <w:szCs w:val="22"/>
          </w:rPr>
          <w:t xml:space="preserve">-</w:t>
        </w:r>
        <w:r>
          <w:rPr>
            <w:rStyle w:val="781"/>
            <w:rFonts w:ascii="Times New Roman" w:hAnsi="Times New Roman"/>
            <w:sz w:val="22"/>
            <w:szCs w:val="22"/>
            <w:lang w:val="en-US"/>
          </w:rPr>
          <w:t xml:space="preserve">tender</w:t>
        </w:r>
        <w:r>
          <w:rPr>
            <w:rStyle w:val="781"/>
            <w:rFonts w:ascii="Times New Roman" w:hAnsi="Times New Roman"/>
            <w:sz w:val="22"/>
            <w:szCs w:val="22"/>
          </w:rPr>
          <w:t xml:space="preserve">.</w:t>
        </w:r>
        <w:r>
          <w:rPr>
            <w:rStyle w:val="781"/>
            <w:rFonts w:ascii="Times New Roman" w:hAnsi="Times New Roman"/>
            <w:sz w:val="22"/>
            <w:szCs w:val="22"/>
            <w:lang w:val="en-US"/>
          </w:rPr>
          <w:t xml:space="preserve">ru</w:t>
        </w:r>
      </w:hyperlink>
      <w:r>
        <w:rPr>
          <w:rFonts w:ascii="Times New Roman" w:hAnsi="Times New Roman"/>
          <w:sz w:val="22"/>
          <w:szCs w:val="22"/>
        </w:rPr>
        <w:t xml:space="preserve">  (ООО «РТС-тендер»)</w:t>
      </w: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, на котором размещается </w:t>
      </w: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информационное сообщение: информационное сообщение размещается на официальных сайтах торгов и на электронной площадке. С информационным сообщением можно ознакомиться с даты размещения информационного сообщения на официальных сайтах: на официальном сайте Ро</w:t>
      </w: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ссийской Федерации для размещения информации о проведении торгов, определенном Правительством Российской Федерации, а также на электронной площадке до даты окончания приема заявок на участие в продаже на официальных сайтах торгов и на электронной площадке.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53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7. </w:t>
      </w:r>
      <w:r>
        <w:rPr>
          <w:rFonts w:ascii="Times New Roman" w:hAnsi="Times New Roman"/>
          <w:b/>
          <w:sz w:val="22"/>
          <w:szCs w:val="22"/>
          <w:shd w:val="clear" w:color="auto" w:fill="ffffff"/>
        </w:rPr>
        <w:t xml:space="preserve">Порядок внесения и возврата задатка, банковские реквизиты счета для перечисления задатка.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53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Порядок внесения задатка определяется регламентом работы электронной площадки Организатора www.rts-tender.ru.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Д</w:t>
      </w:r>
      <w:r>
        <w:rPr>
          <w:rFonts w:ascii="Times New Roman" w:hAnsi="Times New Roman"/>
          <w:sz w:val="22"/>
          <w:szCs w:val="22"/>
          <w:lang w:eastAsia="en-US"/>
        </w:rPr>
        <w:t xml:space="preserve">ля участия в аукционе в электронной форме</w:t>
      </w:r>
      <w:r>
        <w:rPr>
          <w:rFonts w:ascii="Times New Roman" w:hAnsi="Times New Roman"/>
          <w:sz w:val="22"/>
          <w:szCs w:val="22"/>
          <w:lang w:eastAsia="en-US"/>
        </w:rPr>
        <w:t xml:space="preserve"> установлено требование о внесении задатка. В целях исполнения данного требования Заявитель обеспечивает наличие денежных средств на счёте Оператора электронной площадки в размере, не менее суммы задатка, установленного в настоящей аукционной документации.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За</w:t>
      </w:r>
      <w:r>
        <w:rPr>
          <w:rFonts w:ascii="Times New Roman" w:hAnsi="Times New Roman"/>
          <w:sz w:val="22"/>
          <w:szCs w:val="22"/>
          <w:lang w:eastAsia="en-US"/>
        </w:rPr>
        <w:t xml:space="preserve">числение денежных средств на счёт Оператора электронной площадки производится </w:t>
      </w:r>
      <w:r>
        <w:rPr>
          <w:rFonts w:ascii="Times New Roman" w:hAnsi="Times New Roman"/>
          <w:sz w:val="22"/>
          <w:szCs w:val="22"/>
          <w:lang w:eastAsia="en-US"/>
        </w:rPr>
        <w:t xml:space="preserve">в срок до даты рассмотрения заявок</w:t>
      </w: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 (не позднее: </w:t>
      </w:r>
      <w:r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 xml:space="preserve">28 января</w:t>
      </w:r>
      <w:r>
        <w:rPr>
          <w:rFonts w:ascii="Times New Roman" w:hAnsi="Times New Roman"/>
          <w:b/>
          <w:sz w:val="22"/>
          <w:szCs w:val="22"/>
          <w:highlight w:val="white"/>
          <w:shd w:val="clear" w:color="auto" w:fill="ffffff"/>
        </w:rPr>
        <w:t xml:space="preserve"> 202</w:t>
      </w:r>
      <w:r>
        <w:rPr>
          <w:rFonts w:ascii="Times New Roman" w:hAnsi="Times New Roman"/>
          <w:b/>
          <w:sz w:val="22"/>
          <w:szCs w:val="22"/>
          <w:highlight w:val="white"/>
          <w:shd w:val="clear" w:color="auto" w:fill="ffffff"/>
        </w:rPr>
        <w:t xml:space="preserve">5</w:t>
      </w:r>
      <w:r>
        <w:rPr>
          <w:rFonts w:ascii="Times New Roman" w:hAnsi="Times New Roman"/>
          <w:b/>
          <w:sz w:val="22"/>
          <w:szCs w:val="22"/>
          <w:highlight w:val="white"/>
          <w:shd w:val="clear" w:color="auto" w:fill="ffffff"/>
        </w:rPr>
        <w:t xml:space="preserve"> года 10 час. 00 мин</w:t>
      </w:r>
      <w:r>
        <w:rPr>
          <w:rFonts w:ascii="Times New Roman" w:hAnsi="Times New Roman"/>
          <w:sz w:val="22"/>
          <w:szCs w:val="22"/>
          <w:highlight w:val="white"/>
          <w:shd w:val="clear" w:color="auto" w:fill="ffffff"/>
        </w:rPr>
        <w:t xml:space="preserve"> время московское)</w:t>
      </w:r>
      <w:r>
        <w:rPr>
          <w:rFonts w:ascii="Times New Roman" w:hAnsi="Times New Roman"/>
          <w:sz w:val="22"/>
          <w:szCs w:val="22"/>
          <w:lang w:eastAsia="en-US"/>
        </w:rPr>
        <w:t xml:space="preserve"> в соответствии с Регламентом Оператора электронной площадки, размещенными на электронной площадке по следующим реквизитам: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Получатель платежа: ООО «РТС-тендер»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Банковские реквизиты: Филиал «Корпоративный» ПАО «</w:t>
      </w:r>
      <w:r>
        <w:rPr>
          <w:rFonts w:ascii="Times New Roman" w:hAnsi="Times New Roman"/>
          <w:sz w:val="22"/>
          <w:szCs w:val="22"/>
          <w:lang w:eastAsia="en-US"/>
        </w:rPr>
        <w:t xml:space="preserve">Совкомбанк</w:t>
      </w:r>
      <w:r>
        <w:rPr>
          <w:rFonts w:ascii="Times New Roman" w:hAnsi="Times New Roman"/>
          <w:sz w:val="22"/>
          <w:szCs w:val="22"/>
          <w:lang w:eastAsia="en-US"/>
        </w:rPr>
        <w:t xml:space="preserve">»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БИК 044525360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Расчётный счёт: 40702810512030016362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Корр. счёт 30101810445250000360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ИНН 7710357167 КПП 773001001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Назначение платежа: «Внесение гарантийного обеспечения по Соглашению о внесении гарантийного обеспечения, № аналитического счета, без НДС».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Денежные средства, перечисленные в соответствии с Регламентом Оператора электронной площадки, размещенными на электронной площадке на счет Оператора электронной площадки, учитываются на счете Заявителя, открытом у Оператора электронной площадки.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Денежные средства в размере, равном задатку, блокируются Оператором электронной площадки на счете Заявителя в соответствии с Регл</w:t>
      </w:r>
      <w:r>
        <w:rPr>
          <w:rFonts w:ascii="Times New Roman" w:hAnsi="Times New Roman"/>
          <w:sz w:val="22"/>
          <w:szCs w:val="22"/>
          <w:lang w:eastAsia="en-US"/>
        </w:rPr>
        <w:t xml:space="preserve">аментом Оператора электронной площадки, размещенными на электронной площадке. Основанием для блокирования денежных средств является Заявка, направленная Оператору электронной площадки. Заблокированные на счете Заявителя денежные средства являются задатком.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Подача Заявки и блокирование задатка является заключением соглашения о задатке.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В случае если денежных средств на счете Заявителя недостаточно, Оператором электронной площадки Заявка не принимается.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Прекращение блокирования денежных средств на счете Заявителя в соответствии с Регламентом Оператора электронной площадки, размещенными на электронной площадке производится Оператором электронной площадки в следующем порядке: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-</w:t>
      </w:r>
      <w:r>
        <w:rPr>
          <w:rFonts w:ascii="Times New Roman" w:hAnsi="Times New Roman"/>
          <w:sz w:val="22"/>
          <w:szCs w:val="22"/>
          <w:lang w:eastAsia="en-US"/>
        </w:rPr>
        <w:t xml:space="preserve">для Заявителя, отозвавшего Заявку до окончания срока приема Заявок, - в течение 3 (трех) рабочих дней со дня поступления уведомления об отзыве Заявки в соответствии с Регламентом Оператора электронной площадки, размещенными на электронной площадке;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-</w:t>
      </w:r>
      <w:r>
        <w:rPr>
          <w:rFonts w:ascii="Times New Roman" w:hAnsi="Times New Roman"/>
          <w:sz w:val="22"/>
          <w:szCs w:val="22"/>
          <w:lang w:eastAsia="en-US"/>
        </w:rPr>
        <w:t xml:space="preserve">для Заявителя, не допущенного к участи</w:t>
      </w:r>
      <w:r>
        <w:rPr>
          <w:rFonts w:ascii="Times New Roman" w:hAnsi="Times New Roman"/>
          <w:sz w:val="22"/>
          <w:szCs w:val="22"/>
          <w:lang w:eastAsia="en-US"/>
        </w:rPr>
        <w:t xml:space="preserve">ю в аукционе в электронной форме, - в течение 3 (трех) рабочих дней со дня оформления Протокола рассмотрения заявок на участие в аукционе в электронной форме в соответствии с Регламентом Оператора электронной площадки, размещенными на электронной площадке;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-</w:t>
      </w:r>
      <w:r>
        <w:rPr>
          <w:rFonts w:ascii="Times New Roman" w:hAnsi="Times New Roman"/>
          <w:sz w:val="22"/>
          <w:szCs w:val="22"/>
          <w:lang w:eastAsia="en-US"/>
        </w:rPr>
        <w:t xml:space="preserve">для Участников, участвовавших в а</w:t>
      </w:r>
      <w:r>
        <w:rPr>
          <w:rFonts w:ascii="Times New Roman" w:hAnsi="Times New Roman"/>
          <w:sz w:val="22"/>
          <w:szCs w:val="22"/>
          <w:lang w:eastAsia="en-US"/>
        </w:rPr>
        <w:t xml:space="preserve">укционе в электронной форме, но не победивших в нем, - в течение 3 (трех) рабочих дней со дня подписания Протокола о результатах аукциона в электронной форме в соответствии с Регламентом Оператора электронной площадки, размещенными на электронной площадке.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Задаток Победителя аукциона в электронной форме, а также задаток иных лиц, с которым договор </w:t>
      </w:r>
      <w:r>
        <w:rPr>
          <w:rFonts w:ascii="Times New Roman" w:hAnsi="Times New Roman"/>
          <w:sz w:val="22"/>
          <w:szCs w:val="22"/>
          <w:lang w:eastAsia="en-US"/>
        </w:rPr>
        <w:t xml:space="preserve">купли продажи</w:t>
      </w:r>
      <w:r>
        <w:rPr>
          <w:rFonts w:ascii="Times New Roman" w:hAnsi="Times New Roman"/>
          <w:sz w:val="22"/>
          <w:szCs w:val="22"/>
          <w:lang w:eastAsia="en-US"/>
        </w:rPr>
        <w:t xml:space="preserve"> земельного участка заключается в соответствии с пунктами 13 и 14 статьи 39.12 Земельного кодекса Российской Федерации, засчитываются в счет </w:t>
      </w:r>
      <w:r>
        <w:rPr>
          <w:rFonts w:ascii="Times New Roman" w:hAnsi="Times New Roman"/>
          <w:sz w:val="22"/>
          <w:szCs w:val="22"/>
          <w:lang w:eastAsia="en-US"/>
        </w:rPr>
        <w:t xml:space="preserve">оплаты</w:t>
      </w:r>
      <w:r>
        <w:rPr>
          <w:rFonts w:ascii="Times New Roman" w:hAnsi="Times New Roman"/>
          <w:sz w:val="22"/>
          <w:szCs w:val="22"/>
          <w:lang w:eastAsia="en-US"/>
        </w:rPr>
        <w:t xml:space="preserve"> за земельный участок. Перечисление задатка </w:t>
      </w:r>
      <w:r>
        <w:rPr>
          <w:rFonts w:ascii="Times New Roman" w:hAnsi="Times New Roman"/>
          <w:sz w:val="22"/>
          <w:szCs w:val="22"/>
          <w:lang w:eastAsia="en-US"/>
        </w:rPr>
        <w:t xml:space="preserve">Продавцу</w:t>
      </w:r>
      <w:r>
        <w:rPr>
          <w:rFonts w:ascii="Times New Roman" w:hAnsi="Times New Roman"/>
          <w:sz w:val="22"/>
          <w:szCs w:val="22"/>
          <w:lang w:eastAsia="en-US"/>
        </w:rPr>
        <w:t xml:space="preserve"> в счет платы за земельный участок осуществляется Оператором электронной площадки в соответствии с Регламентом Оператора электронной площадки, размещенными на электронной площадке.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Задатки, внесенные указанными в настоящем пункте лицами, не заключившими в установленном в Извещении порядке договора </w:t>
      </w:r>
      <w:r>
        <w:rPr>
          <w:rFonts w:ascii="Times New Roman" w:hAnsi="Times New Roman"/>
          <w:sz w:val="22"/>
          <w:szCs w:val="22"/>
          <w:lang w:eastAsia="en-US"/>
        </w:rPr>
        <w:t xml:space="preserve">купли-продажи</w:t>
      </w:r>
      <w:r>
        <w:rPr>
          <w:rFonts w:ascii="Times New Roman" w:hAnsi="Times New Roman"/>
          <w:sz w:val="22"/>
          <w:szCs w:val="22"/>
          <w:lang w:eastAsia="en-US"/>
        </w:rPr>
        <w:t xml:space="preserve"> земельного участка вследствие уклонения от заключения указанного договора, не возвращаются.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:highlight w:val="none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Задатки лицам, участвовавшим в аукционе, но не победившим в нем, Оператор электронной площадки в течение трех рабочих дней со дня подписания протокола о результатах аукциона обязан возвратить.</w:t>
      </w:r>
      <w:r>
        <w:rPr>
          <w:rFonts w:ascii="Times New Roman" w:hAnsi="Times New Roman"/>
          <w:sz w:val="22"/>
          <w:szCs w:val="22"/>
          <w:highlight w:val="none"/>
        </w:rPr>
      </w:r>
      <w:r>
        <w:rPr>
          <w:rFonts w:ascii="Times New Roman" w:hAnsi="Times New Roman"/>
          <w:sz w:val="22"/>
          <w:szCs w:val="22"/>
          <w:highlight w:val="none"/>
        </w:rPr>
      </w:r>
    </w:p>
    <w:p>
      <w:pPr>
        <w:pStyle w:val="753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8. Осмотр земельного участка осуществляется претендентами самостоятельно по месту нахождения участка.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53"/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9. Вз</w:t>
      </w:r>
      <w:r>
        <w:rPr>
          <w:rFonts w:ascii="Times New Roman" w:hAnsi="Times New Roman"/>
          <w:sz w:val="22"/>
          <w:szCs w:val="22"/>
        </w:rPr>
        <w:t xml:space="preserve">имание оператором электронной площадки с победителя электронного аукциона или иных лиц, с которыми в соответствии с пунктами 13, 14, 20 и 25 статьи 39.12 Земельного кодекса Российской Федерации (далее – Кодекс) заключается договор купли-продажи земельного </w:t>
      </w:r>
      <w:r>
        <w:rPr>
          <w:rFonts w:ascii="Times New Roman" w:hAnsi="Times New Roman"/>
          <w:sz w:val="22"/>
          <w:szCs w:val="22"/>
        </w:rPr>
        <w:t xml:space="preserve">участка, находящегося в государственной или муниципальной собственности, либо договор аренды такого участка, платы за участие в электронном аукционе производится в соответствии с регламентом и иными регулирующими документами оператора электронной площадки </w:t>
      </w:r>
      <w:hyperlink r:id="rId11" w:tooltip="https://www.rts-tender.ru/" w:history="1">
        <w:r>
          <w:rPr>
            <w:rStyle w:val="781"/>
            <w:rFonts w:ascii="Times New Roman" w:hAnsi="Times New Roman"/>
            <w:sz w:val="22"/>
            <w:szCs w:val="22"/>
          </w:rPr>
          <w:t xml:space="preserve">https://www.rts-tender.ru/</w:t>
        </w:r>
      </w:hyperlink>
      <w:r>
        <w:rPr>
          <w:rFonts w:ascii="Times New Roman" w:hAnsi="Times New Roman"/>
          <w:sz w:val="22"/>
          <w:szCs w:val="22"/>
        </w:rPr>
        <w:t xml:space="preserve"> (ООО «РТС-тендер») во вкладке ТАРИФЫ/ИМУЩЕСТВЕННЫЕ ТОРГИ.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53"/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10</w:t>
      </w:r>
      <w:r>
        <w:rPr>
          <w:rFonts w:ascii="Times New Roman" w:hAnsi="Times New Roman"/>
          <w:b/>
          <w:sz w:val="22"/>
          <w:szCs w:val="22"/>
        </w:rPr>
        <w:t xml:space="preserve">.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  <w:highlight w:val="white"/>
        </w:rPr>
        <w:t xml:space="preserve">М</w:t>
      </w:r>
      <w:r>
        <w:rPr>
          <w:rFonts w:ascii="Times New Roman" w:hAnsi="Times New Roman"/>
          <w:b/>
          <w:sz w:val="22"/>
          <w:szCs w:val="22"/>
          <w:highlight w:val="white"/>
        </w:rPr>
        <w:t xml:space="preserve">есто, дата, время и порядок определения участников аукциона: 28 января</w:t>
      </w:r>
      <w:r>
        <w:rPr>
          <w:rFonts w:ascii="Times New Roman" w:hAnsi="Times New Roman"/>
          <w:b/>
          <w:sz w:val="22"/>
          <w:szCs w:val="22"/>
          <w:highlight w:val="white"/>
        </w:rPr>
        <w:t xml:space="preserve"> 202</w:t>
      </w:r>
      <w:r>
        <w:rPr>
          <w:rFonts w:ascii="Times New Roman" w:hAnsi="Times New Roman"/>
          <w:b/>
          <w:sz w:val="22"/>
          <w:szCs w:val="22"/>
          <w:highlight w:val="white"/>
        </w:rPr>
        <w:t xml:space="preserve">5 года в 10 час. 00 мин</w:t>
      </w:r>
      <w:r>
        <w:rPr>
          <w:rFonts w:ascii="Times New Roman" w:hAnsi="Times New Roman"/>
          <w:sz w:val="22"/>
          <w:szCs w:val="22"/>
          <w:highlight w:val="white"/>
        </w:rPr>
        <w:t xml:space="preserve">. На электронной площадке </w:t>
      </w:r>
      <w:hyperlink r:id="rId12" w:tooltip="http://www.rts-tender.ru/" w:history="1">
        <w:r>
          <w:rPr>
            <w:rStyle w:val="781"/>
            <w:rFonts w:ascii="Times New Roman" w:hAnsi="Times New Roman"/>
            <w:sz w:val="22"/>
            <w:szCs w:val="22"/>
            <w:highlight w:val="white"/>
          </w:rPr>
          <w:t xml:space="preserve">www.rts-tend</w:t>
        </w:r>
        <w:r>
          <w:rPr>
            <w:rStyle w:val="781"/>
            <w:rFonts w:ascii="Times New Roman" w:hAnsi="Times New Roman"/>
            <w:sz w:val="22"/>
            <w:szCs w:val="22"/>
            <w:highlight w:val="white"/>
          </w:rPr>
          <w:t xml:space="preserve">er.ru</w:t>
        </w:r>
      </w:hyperlink>
      <w:r>
        <w:rPr>
          <w:rFonts w:ascii="Times New Roman" w:hAnsi="Times New Roman"/>
          <w:sz w:val="22"/>
          <w:szCs w:val="22"/>
          <w:highlight w:val="white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(ООО «РТС-тендер»).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53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Организатор рассматривает заявки и документы заявителей (претендентов) и устанавливает факт поступления на счёт установленных сумм задатков.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53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Определение участников аукциона проводится без участия заявителей (претендентов). 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53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По результатам рассмотрения заявок и документов организатор принимает решение о признании заявителей участниками аукциона.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53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Заявитель, допущенный к участию в аукционе, приобретает статус участника аукциона с момента оформления организатором протокола рассмотрения заявок на участие в аукционе.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53"/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highlight w:val="white"/>
        </w:rPr>
        <w:t xml:space="preserve">11. </w:t>
      </w:r>
      <w:r>
        <w:rPr>
          <w:rFonts w:ascii="Times New Roman" w:hAnsi="Times New Roman"/>
          <w:b/>
          <w:bCs/>
          <w:sz w:val="22"/>
          <w:szCs w:val="22"/>
          <w:highlight w:val="white"/>
        </w:rPr>
        <w:t xml:space="preserve">Дата, место, время и порядок проведения аукциона</w:t>
      </w:r>
      <w:r>
        <w:rPr>
          <w:rFonts w:ascii="Times New Roman" w:hAnsi="Times New Roman"/>
          <w:b/>
          <w:bCs/>
          <w:sz w:val="22"/>
          <w:szCs w:val="22"/>
          <w:highlight w:val="white"/>
        </w:rPr>
        <w:t xml:space="preserve">:</w:t>
      </w:r>
      <w:r>
        <w:rPr>
          <w:rFonts w:ascii="Times New Roman" w:hAnsi="Times New Roman"/>
          <w:b/>
          <w:bCs/>
          <w:sz w:val="22"/>
          <w:szCs w:val="22"/>
          <w:highlight w:val="white"/>
        </w:rPr>
        <w:t xml:space="preserve"> 30 января</w:t>
      </w:r>
      <w:r>
        <w:rPr>
          <w:rFonts w:ascii="Times New Roman" w:hAnsi="Times New Roman"/>
          <w:b/>
          <w:bCs/>
          <w:sz w:val="22"/>
          <w:szCs w:val="22"/>
          <w:highlight w:val="white"/>
        </w:rPr>
        <w:t xml:space="preserve"> 202</w:t>
      </w:r>
      <w:r>
        <w:rPr>
          <w:rFonts w:ascii="Times New Roman" w:hAnsi="Times New Roman"/>
          <w:b/>
          <w:bCs/>
          <w:sz w:val="22"/>
          <w:szCs w:val="22"/>
          <w:highlight w:val="white"/>
        </w:rPr>
        <w:t xml:space="preserve">5 года в 10 час. 00 мин. </w:t>
      </w:r>
      <w:r>
        <w:rPr>
          <w:rFonts w:ascii="Times New Roman" w:hAnsi="Times New Roman"/>
          <w:sz w:val="22"/>
          <w:szCs w:val="22"/>
          <w:highlight w:val="white"/>
        </w:rPr>
        <w:t xml:space="preserve">на электронной площадке </w:t>
      </w:r>
      <w:hyperlink r:id="rId13" w:tooltip="https://www.rts-tender.ru/" w:history="1">
        <w:r>
          <w:rPr>
            <w:rFonts w:ascii="Times New Roman" w:hAnsi="Times New Roman"/>
            <w:color w:val="0000ff"/>
            <w:sz w:val="22"/>
            <w:szCs w:val="22"/>
            <w:highlight w:val="white"/>
            <w:u w:val="single"/>
          </w:rPr>
          <w:t xml:space="preserve">https://www.rts-tender</w:t>
        </w:r>
        <w:r>
          <w:rPr>
            <w:rFonts w:ascii="Times New Roman" w:hAnsi="Times New Roman"/>
            <w:color w:val="0000ff"/>
            <w:sz w:val="22"/>
            <w:szCs w:val="22"/>
            <w:highlight w:val="white"/>
            <w:u w:val="single"/>
          </w:rPr>
          <w:t xml:space="preserve">.ru/</w:t>
        </w:r>
      </w:hyperlink>
      <w:r>
        <w:rPr>
          <w:rFonts w:ascii="Times New Roman" w:hAnsi="Times New Roman"/>
          <w:sz w:val="22"/>
          <w:szCs w:val="22"/>
        </w:rPr>
        <w:t xml:space="preserve"> (ООО «РТС-тендер») в соответствии с регламентом электронной площадки.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53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12. Победителем признается участник, предложивший в ходе аукциона наибольшую цену.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53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13. Задаток, внесённый лицом, признанным победителем аукциона, или иным лицом, с которым заключается договор аренды земельного участка, засчитывается в оплату приобретаемого земельного участка.   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53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14. Организатор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не </w:t>
      </w:r>
      <w:r>
        <w:rPr>
          <w:rFonts w:ascii="Times New Roman" w:hAnsi="Times New Roman"/>
          <w:sz w:val="22"/>
          <w:szCs w:val="22"/>
        </w:rPr>
        <w:t xml:space="preserve">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 (Приложение 2).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53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15. Уполномоченный орган в течение пяти дней со дня истечения срока, пред</w:t>
      </w:r>
      <w:r>
        <w:rPr>
          <w:rFonts w:ascii="Times New Roman" w:hAnsi="Times New Roman"/>
          <w:sz w:val="22"/>
          <w:szCs w:val="22"/>
        </w:rPr>
        <w:t xml:space="preserve">усмотренного пункт</w:t>
      </w:r>
      <w:r>
        <w:rPr>
          <w:rFonts w:ascii="Times New Roman" w:hAnsi="Times New Roman"/>
          <w:sz w:val="22"/>
          <w:szCs w:val="22"/>
        </w:rPr>
        <w:t xml:space="preserve">ом 14, направляет победителю электронного аукциона или иным лицам, с которыми в соответствии с пунктами 13, 14, 20 и 25 статьи 39.12 Кодекса заключается договор аренды земельного участка, подписанный проект договора аренды такого участка.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14:ligatures w14:val="none"/>
        </w:rPr>
      </w:pPr>
      <w:r>
        <w:rPr>
          <w:rFonts w:ascii="Times New Roman" w:hAnsi="Times New Roman"/>
          <w:sz w:val="22"/>
          <w:szCs w:val="22"/>
        </w:rPr>
        <w:t xml:space="preserve">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</w:t>
      </w:r>
      <w:r>
        <w:rPr>
          <w:rFonts w:ascii="Times New Roman" w:hAnsi="Times New Roman"/>
          <w:sz w:val="22"/>
          <w:szCs w:val="22"/>
        </w:rPr>
        <w:t xml:space="preserve">вора.</w:t>
      </w:r>
      <w:r>
        <w:rPr>
          <w:rFonts w:ascii="Times New Roman" w:hAnsi="Times New Roman"/>
          <w:sz w:val="22"/>
          <w:szCs w:val="22"/>
          <w14:ligatures w14:val="none"/>
        </w:rPr>
      </w:r>
      <w:r>
        <w:rPr>
          <w:rFonts w:ascii="Times New Roman" w:hAnsi="Times New Roman"/>
          <w:sz w:val="22"/>
          <w:szCs w:val="22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14:ligatures w14:val="none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Победитель аукциона в электронной форме или иное лицо, с которым заключается договор аренды</w:t>
      </w:r>
      <w:r>
        <w:rPr>
          <w:rFonts w:ascii="Times New Roman" w:hAnsi="Times New Roman"/>
          <w:sz w:val="22"/>
          <w:szCs w:val="22"/>
          <w:lang w:eastAsia="en-US"/>
        </w:rPr>
        <w:t xml:space="preserve"> земельного участка в соответствии с Кодексом, обязаны подписать договор в течение 30 (тридцати) дней со дня направления им такого договора.</w:t>
      </w:r>
      <w:r>
        <w:rPr>
          <w:rFonts w:ascii="Times New Roman" w:hAnsi="Times New Roman"/>
          <w:sz w:val="22"/>
          <w:szCs w:val="22"/>
          <w14:ligatures w14:val="none"/>
        </w:rPr>
      </w:r>
      <w:r>
        <w:rPr>
          <w:rFonts w:ascii="Times New Roman" w:hAnsi="Times New Roman"/>
          <w:sz w:val="22"/>
          <w:szCs w:val="22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14:ligatures w14:val="none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Если договор в течение 30 (тридцати) дней со дня направления проекта договора Победителю аукциона в </w:t>
      </w:r>
      <w:r>
        <w:rPr>
          <w:rFonts w:ascii="Times New Roman" w:hAnsi="Times New Roman"/>
          <w:sz w:val="22"/>
          <w:szCs w:val="22"/>
          <w:lang w:eastAsia="en-US"/>
        </w:rPr>
        <w:t xml:space="preserve">электронной форме не был им подписан и представлен продавцу, продавец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 в электронной форме.</w:t>
      </w:r>
      <w:r>
        <w:rPr>
          <w:rFonts w:ascii="Times New Roman" w:hAnsi="Times New Roman"/>
          <w:sz w:val="22"/>
          <w:szCs w:val="22"/>
          <w14:ligatures w14:val="none"/>
        </w:rPr>
      </w:r>
      <w:r>
        <w:rPr>
          <w:rFonts w:ascii="Times New Roman" w:hAnsi="Times New Roman"/>
          <w:sz w:val="22"/>
          <w:szCs w:val="22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14:ligatures w14:val="none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В случае, если Победитель аукциона в электронной форме или иное лицо, с которым заключается договор в соответствии с пунктами Извещения, в течение 30 (тридца</w:t>
      </w:r>
      <w:r>
        <w:rPr>
          <w:rFonts w:ascii="Times New Roman" w:hAnsi="Times New Roman"/>
          <w:sz w:val="22"/>
          <w:szCs w:val="22"/>
          <w:lang w:eastAsia="en-US"/>
        </w:rPr>
        <w:t xml:space="preserve">ти) дней со дня направления продавцом проекта указанного договора не подписал и не представил продавцу указанный договор, продавец направляет сведения в Федеральную антимонопольную службу России для включения в реестр недобросовестных участников аукциона. </w:t>
      </w:r>
      <w:r>
        <w:rPr>
          <w:rFonts w:ascii="Times New Roman" w:hAnsi="Times New Roman"/>
          <w:sz w:val="22"/>
          <w:szCs w:val="22"/>
          <w14:ligatures w14:val="none"/>
        </w:rPr>
      </w:r>
      <w:r>
        <w:rPr>
          <w:rFonts w:ascii="Times New Roman" w:hAnsi="Times New Roman"/>
          <w:sz w:val="22"/>
          <w:szCs w:val="22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14:ligatures w14:val="none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В случае, если в течение 30 (тридцати) дней со дня направления Участнику, который сделал предпоследнее предложение о цене Предмета аукциона, этот Участник не представил продавцу подписанный со своей стороны указанный договор</w:t>
      </w:r>
      <w:r>
        <w:rPr>
          <w:rFonts w:ascii="Times New Roman" w:hAnsi="Times New Roman"/>
          <w:sz w:val="22"/>
          <w:szCs w:val="22"/>
          <w:lang w:eastAsia="en-US"/>
        </w:rPr>
        <w:t xml:space="preserve">, </w:t>
      </w:r>
      <w:r>
        <w:rPr>
          <w:rFonts w:ascii="Times New Roman" w:hAnsi="Times New Roman"/>
          <w:sz w:val="22"/>
          <w:szCs w:val="22"/>
          <w:lang w:eastAsia="en-US"/>
        </w:rPr>
        <w:t xml:space="preserve"> продавец вправе объявить о проведении повторного аукциона в электронной форме или распорядиться земельным участком иным образом в соответствии с Земельным кодексом Российской Федерации.</w:t>
      </w:r>
      <w:r>
        <w:rPr>
          <w:rFonts w:ascii="Times New Roman" w:hAnsi="Times New Roman"/>
          <w:sz w:val="22"/>
          <w:szCs w:val="22"/>
          <w14:ligatures w14:val="none"/>
        </w:rPr>
      </w:r>
      <w:r>
        <w:rPr>
          <w:rFonts w:ascii="Times New Roman" w:hAnsi="Times New Roman"/>
          <w:sz w:val="22"/>
          <w:szCs w:val="22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14:ligatures w14:val="none"/>
        </w:rPr>
      </w:pPr>
      <w:r>
        <w:rPr>
          <w:rFonts w:ascii="Times New Roman" w:hAnsi="Times New Roman"/>
          <w:sz w:val="22"/>
          <w:szCs w:val="22"/>
        </w:rPr>
        <w:t xml:space="preserve">16. Организатор торгов в течении трёх рабочих дней со дня подписания протокола о результатах торгов возвращает задатки лицам, участвовавшим в аукционе, но не победивш</w:t>
      </w:r>
      <w:r>
        <w:rPr>
          <w:rFonts w:ascii="Times New Roman" w:hAnsi="Times New Roman"/>
          <w:sz w:val="22"/>
          <w:szCs w:val="22"/>
        </w:rPr>
        <w:t xml:space="preserve">им </w:t>
      </w:r>
      <w:bookmarkStart w:id="0" w:name="_GoBack"/>
      <w:r>
        <w:rPr>
          <w:rFonts w:ascii="Times New Roman" w:hAnsi="Times New Roman"/>
          <w:sz w:val="22"/>
          <w:szCs w:val="22"/>
        </w:rPr>
        <w:t xml:space="preserve">в нем.   </w:t>
      </w:r>
      <w:bookmarkEnd w:id="0"/>
      <w:r>
        <w:rPr>
          <w:rFonts w:ascii="Times New Roman" w:hAnsi="Times New Roman"/>
          <w:sz w:val="22"/>
          <w:szCs w:val="22"/>
          <w14:ligatures w14:val="none"/>
        </w:rPr>
      </w:r>
      <w:r>
        <w:rPr>
          <w:rFonts w:ascii="Times New Roman" w:hAnsi="Times New Roman"/>
          <w:sz w:val="22"/>
          <w:szCs w:val="22"/>
          <w14:ligatures w14:val="none"/>
        </w:rPr>
      </w:r>
    </w:p>
    <w:p>
      <w:pPr>
        <w:ind w:firstLine="709"/>
        <w:jc w:val="both"/>
        <w:rPr>
          <w:rFonts w:ascii="Times New Roman" w:hAnsi="Times New Roman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sz w:val="22"/>
          <w:szCs w:val="22"/>
          <w:lang w:eastAsia="en-US"/>
        </w:rPr>
        <w:t xml:space="preserve">17.</w:t>
      </w:r>
      <w:r>
        <w:rPr>
          <w:rFonts w:ascii="Times New Roman" w:hAnsi="Times New Roman"/>
          <w:sz w:val="22"/>
          <w:szCs w:val="22"/>
        </w:rPr>
        <w:t xml:space="preserve"> Организатор </w:t>
      </w:r>
      <w:r>
        <w:rPr>
          <w:rFonts w:ascii="Times New Roman" w:hAnsi="Times New Roman"/>
          <w:sz w:val="22"/>
          <w:szCs w:val="22"/>
        </w:rPr>
        <w:t xml:space="preserve">аукциона вправе отказаться от процедуры проведения аукциона в соответствии с пунктом 4 статьи 448 Гражданского кодекса Российской Федерации. </w:t>
      </w:r>
      <w:r>
        <w:rPr>
          <w:rFonts w:ascii="Times New Roman" w:hAnsi="Times New Roman"/>
          <w14:ligatures w14:val="none"/>
        </w:rPr>
      </w:r>
      <w:r>
        <w:rPr>
          <w:rFonts w:ascii="Times New Roman" w:hAnsi="Times New Roman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14:ligatures w14:val="none"/>
        </w:rPr>
      </w:pPr>
      <w:r>
        <w:rPr>
          <w:rFonts w:ascii="Times New Roman" w:hAnsi="Times New Roman"/>
          <w:sz w:val="22"/>
          <w:szCs w:val="22"/>
        </w:rPr>
        <w:t xml:space="preserve">В течение трех дней со дня принятия решения об отказе в проведении аукциона организатор аукциона обязан известить участников аукциона об отказе в проведе</w:t>
      </w:r>
      <w:r>
        <w:rPr>
          <w:rFonts w:ascii="Times New Roman" w:hAnsi="Times New Roman"/>
          <w:sz w:val="22"/>
          <w:szCs w:val="22"/>
        </w:rPr>
        <w:t xml:space="preserve">нии </w:t>
      </w:r>
      <w:r>
        <w:rPr>
          <w:rFonts w:ascii="Times New Roman" w:hAnsi="Times New Roman"/>
          <w:sz w:val="22"/>
          <w:szCs w:val="22"/>
        </w:rPr>
        <w:t xml:space="preserve">аукциона и возвратить его участникам внесенные задатки.</w:t>
      </w:r>
      <w:r>
        <w:rPr>
          <w:rFonts w:ascii="Times New Roman" w:hAnsi="Times New Roman"/>
          <w:sz w:val="22"/>
          <w:szCs w:val="22"/>
          <w14:ligatures w14:val="none"/>
        </w:rPr>
      </w:r>
      <w:r>
        <w:rPr>
          <w:rFonts w:ascii="Times New Roman" w:hAnsi="Times New Roman"/>
          <w:sz w:val="22"/>
          <w:szCs w:val="22"/>
          <w14:ligatures w14:val="none"/>
        </w:rPr>
      </w:r>
    </w:p>
    <w:p>
      <w:pPr>
        <w:ind w:left="0" w:right="0" w:firstLine="540"/>
        <w:jc w:val="both"/>
        <w:spacing w:before="0" w:beforeAutospacing="0" w:after="0" w:line="283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18. Земельный участок в соответствии с Правилами землепользования и застройки города Костромы, утвер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жденными постановлением Администрации города Костромы от 28 июня 2021 года № 1130 (с и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зменениями, внесенными постановлением Администрации города Костромы от 4 июля 2024 года №1101), отнесен к зоне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застройки индивидуальными жилыми домами Ж-1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0"/>
        <w:jc w:val="center"/>
        <w:spacing w:before="0" w:beforeAutospacing="0" w:after="0" w:line="283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2"/>
          <w:szCs w:val="22"/>
        </w:rPr>
        <w:t xml:space="preserve">«</w:t>
      </w:r>
      <w:r>
        <w:rPr>
          <w:rFonts w:ascii="Times New Roman" w:hAnsi="Times New Roman" w:eastAsia="Times New Roman" w:cs="Times New Roman"/>
          <w:b/>
          <w:color w:val="000000"/>
          <w:sz w:val="22"/>
          <w:szCs w:val="22"/>
        </w:rPr>
        <w:t xml:space="preserve">1.1. Градостроительный регламент зоны застройки</w:t>
        <w:br/>
      </w:r>
      <w:r>
        <w:rPr>
          <w:rFonts w:ascii="Times New Roman" w:hAnsi="Times New Roman" w:eastAsia="Times New Roman" w:cs="Times New Roman"/>
          <w:b/>
          <w:color w:val="000000"/>
          <w:sz w:val="22"/>
          <w:szCs w:val="22"/>
        </w:rPr>
        <w:t xml:space="preserve">индивидуальными жилыми домами Ж-1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0"/>
        <w:jc w:val="both"/>
        <w:spacing w:before="0" w:beforeAutospacing="0" w:after="0" w:line="283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1.1.1. Зона застройки индивидуальными жилыми домами Ж-1, включая подзоны Ж-1.1, Ж-1.2, Ж-1.3 (далее - зона Ж-1), выделяется на основе существующих и вновь осваиваемых территорий индивидуальной жилой застройки, с целью повышения уровня комфортности проживан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ия, развития сферы социального и культурно-бытового обслуживания, обеспечивающих потребности жителей, создания условий для размещения необходимых объектов инженерной инфраструктуры и благоустройства территории.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83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В пределах зоны Ж-1 допускается размещать объекты бытового обслуживания населения, не имеющие санитарно-защитной зоны, преимущественно встроенные и встроенно-пристроенные.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83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1.1.2. Новое строительство, реконструкция и развитие территорий, в отношении которых принято решение о комплексном развитии территории, осуществляется на основании утвержденной документации по планировке территории.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83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Расчетные показатели минимально допустимого уровня обеспеченности территории объектами коммунальной, транспортной, социальной инфраструктуры и расчетные показатели максимально допустимого уровня территориальной доступности указанных объектов: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83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- обеспеченность дошкольными образовательными организациями - 71 место на 1000 жителей;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83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- обеспеченность образовательными организациями - 93 места на 1000 жителей;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83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- обеспеченность амбулаторно-поликлиническими организациями - 22 посещения в смену на 1000 человек;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83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- максимально допустимый уровень территориальной доступности - 1000 м.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83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Иные расчетные показатели минимально допустимого уровня обеспеченности территории объектами коммунальной, транспортной, социальной инфраструктуры и расчетные показатели максимально допустимого уровня территориальной доступности указанных объектов для насел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ения в случае, если в границах территориальной зоны, применительно к которой устанавливается градостроительный регламент, предусматривается осуществление деятельности по комплексному развитию территории, необходимо принимать в соответствии с нормативами гр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адостроительного проектирования города Костромы при разработке документации по планировке территории.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83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1.1.3. Для земельных участков и объектов капитального строительства, расположенных в пределах зоны Ж-1 (подзон Ж-1.1, Ж-1.2, Ж-1.3), устанавливаются следующие основные виды разрешенного использования земельных участков и объектов капитального строительства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 (далее - вид разрешенного использования) с указанием кода (числового обозначения) видов разрешенного использования земельных участков (далее - код вида), соответствующих 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u w:val="none"/>
        </w:rPr>
        <w:t xml:space="preserve">Классификатору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 видов разрешенного использования земельных участков, утвержденному Приказом Федеральной службы государственной регистрации, кадастра и картографии от 10 ноября 2020 года N П/0412 (далее - Классификатор), и соответствующие каждому виду предельные (минималь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для отдельно стоящих объектов (далее - предельные параметры):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tbl>
      <w:tblPr>
        <w:tblStyle w:val="95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35"/>
        <w:gridCol w:w="1965"/>
        <w:gridCol w:w="2310"/>
        <w:gridCol w:w="3555"/>
        <w:gridCol w:w="72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N п/п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Вид разрешенного использования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Наименование объектов капитального строительства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Предельные параметры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Код вида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Для индивидуального жилищного строительства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жилой дом (отдельно стоящее здание количеством надземных этажей не более чем три, высотой не более двадцати м, которое состоит из комнат и помещений вспомогательного использования, предназначенных для удовлетворения гражданами бытовых и иных нужд, связанны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х с их проживанием в таком здании, не предназначенное для раздела на самостоятельные объекты недвижимости)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- 0,04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размер земельного участка - 0,15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Ж-1, Ж-1.2, Ж-1.3 - 10,5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 - 25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Блокированная жилая застройка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жилой дом, блокированный с другим жилым домом (другими жилыми домами) в одном ряду общей боковой стеной (общими боковыми стенами) без проемов и имеющий отдельный выход на земельный участок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(для каждого блока) - 0,04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размер земельного участка (для каждого блока) - 0,15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границы земельного участка со стороны общей стены между блоками (блок-секциями) - 0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Ж-1, Ж-1.2, Ж-1.3 - 10,5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2.3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иные показатели: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максимальное количество совмещенных домов - 4 дома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Дошкольное, начальное и среднее общее образование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объекты капитального строительства, предназначенные для дошкольного образования (детские ясли, детские сады)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- 35 кв. м на 1 место;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Ж-1, Ж-1.2, Ж-1.3 - 10,5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3.5.1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Ж-1, Ж-1.2, Ж-1.3 - 30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иные показатели: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максимальная вместимость отдельно стоящих объектов - 350 мест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объекты капитального строительства, предназначенные для начального и среднего общего образования (школы, лицеи, гимназии)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минимальные размеры земельных участков при вместимости: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до 400 мест - 50 кв. м на 1 место;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- 400-500 мест - 60 кв. м на 1 место;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- 500-600 мест - 50 кв. м на 1 место;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- 600-800 мест - 40 кв. м на 1 место;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- 800-1100 мест - 33 кв. м на 1 место;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- 1100-1500 мест - 21 кв. м на 1 место;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- 6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Ж-1, Ж-1.2, Ж-1.3 - 10,5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Ж-1, Ж-1.2, Ж-1.3 - 30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иные показатели: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максимальная вместимость - 1500 мест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объекты капитального строительства, предназначенные для просвещения (художественные,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здания, спортивные сооруже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ния, предназначенные для занятия обучающихся физической культурой и спортом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- 0,04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Ж-1, Ж-1.2, Ж-1.3 - 10,5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Ж-1, Ж-1.2, Ж-1.3 - 30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Ж-1.1 - 25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Магазины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размер земельного участка - 0,12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Ж-1, Ж-1.2, Ж-1.3 - 10,5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Ж-1, Ж-1.3 - 40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Ж-1.2 - 30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иные показатели: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максимальная торговая площадь объекта - 300 кв. 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4.4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Бытовое обслуживание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- 0,03 га на 10 рабочих мест;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Ж-1, Ж-1.2, Ж-1.3 - 10,5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Ж-1, Ж-1.3 - 50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Ж-1.2 - 30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3.3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Спорт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- 0,02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Ж-1, Ж-1.2, Ж-1.3 - 10,5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для объектов капитального строительства: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Ж-1, Ж-1.3 - 40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Ж-1.2 - 30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для площадок для занятия спортом - 60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Амбулаторно-поликлиническое обслуживание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- 0,3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Ж-1, Ж-1.2, Ж-1.3 - 10,5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Ж-1, Ж-1.3 - 40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Ж-1.2 - 30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3.4.1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8.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Коммунальное обслуживание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здания и сооружения, обеспечивающие поставку воды, тепла, электричества, газа, отвод канализационных стоков, очистку и уборку объектов недвижимости (котельные, водозаборы, очистные сооружения, насосные станции, водопроводы, линии электропередач, трансформа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торные подстанции, газопроводы, линии связи, телефонные станции, канализация, стоянки, гаражи и мастерские для обслуживания уборочной и аварийной техники, сооружения, необходимые для сбора и плавки снега)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- 0,001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Ж-1, Ж-1.2, Ж-1.3 - 2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Ж-1, Ж-1.2, Ж-1.3 - 10,5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 - 100 процентов.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Для линейных объектов минимальные и максимальные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здания, предназначенные для приема физических и юридических лиц в связи с предоставлением им коммунальных услуг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- 0,04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Ж-1, Ж-1.2, Ж-1.3 - 11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Ж-1, Ж-1.2, Ж-1.3 - 2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Ж-1, Ж-1.3 - 40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Ж-1.2 - 30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Социальное обслуживание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- 0,001 га на 1 рабочее место;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Ж-1, Ж-1.2, Ж-1.3 - 2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Ж-1, Ж-1.2, Ж-1.3 - 11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Ж-1, Ж-1.3 - 40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Ж-1.2 - 30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3.2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10.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Земельные участки (территории) общего пользования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минимальные и максимальные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12.0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11.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Улично-дорожная сеть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12.0.1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ind w:left="0" w:right="0" w:firstLine="0"/>
        <w:jc w:val="both"/>
        <w:spacing w:before="0" w:beforeAutospacing="0" w:after="0" w:line="283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1.1.4. Для земельных участков и объектов капитального строительства, расположенных в пределах зоны Ж-1 (подзон Ж-1.1, Ж-1.2, Ж-1.3), устанавливаются следующие условно разрешенные виды использования и соответствующие каждому виду предельные параметры: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tbl>
      <w:tblPr>
        <w:tblStyle w:val="95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35"/>
        <w:gridCol w:w="1965"/>
        <w:gridCol w:w="2310"/>
        <w:gridCol w:w="3555"/>
        <w:gridCol w:w="72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N п/п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Вид разрешенного использования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Наименование объектов капитального строительства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Предельные параметры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Код вида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Общественное питание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размер земельного участка - 0,1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Ж-1, Ж-1.2, Ж-1.3 - 2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Ж-1, Ж-1.2, Ж-1.3 - 11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Ж-1, Ж-1.3 - 50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Ж-1.2 - 30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4.6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Религиозное использование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- 7 кв. м на единицу вместимости;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для объектов, предназначенных для религиозных обрядов и церемоний, - 0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для иных зданий и сооружений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Ж-1, Ж-1.2, Ж-1.3 - 11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Ж-1, Ж-1.3 - 50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Ж-1.2 - 30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3.7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Обеспечение внутреннего правопорядка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- 0,02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Ж-1, Ж-1.2, Ж-1.3 - 2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Ж-1, Ж-1.2, Ж-1.3 - 11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Ж-1, Ж-1.3 - 40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Ж-1.2 - 30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8.3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Хранение автотранспорта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- 0,002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Ж-1, Ж-1.2, Ж-1.3 - 2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Ж-1, Ж-1.2, Ж-1.3 - 11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 - 100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2.7.1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Деловое управление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- 0,001 га на 1 рабочее место;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Ж-1, Ж-1.2, Ж-1.3 - 11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Ж-1, Ж-1.3 - 40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Ж-1.2 - 30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Банковская и страховая деятельность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- 0,001 га на 1 рабочее место;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Ж-1, Ж-1.2, Ж-1.3 - 11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Ж-1, Ж-1.3 - 40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Ж-1.2 - 30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4.5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Служебные гаражи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- 0,02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Ж-1, Ж-1.2, Ж-1.3 - 11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Ж-1, Ж-1.3 - 50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Ж-1.2 - 30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4.9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8.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Объекты дорожного сервиса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- 0,1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Ж-1, Ж-1.2, Ж-1.3 - 11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Ж-1, Ж-1.3 - 50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Ж-1.2 - 30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4.9.1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Малоэтажная многоквартирная жилая застройка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малоэтажный многоквартирный дом (многоквартирные дома высотой до 4 этажей, включая мансардный)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на одну квартиру (без площади застройки) - 0,006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Ж-1 - 4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Ж-1, Ж-1.2, Ж-1.3 - 11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2.1.1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10.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Размещение гаражей для собственных нужд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- 0,002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Ж-1, Ж-1.2, Ж-1.3 - 2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Ж-1, Ж-1.2, Ж-1.3 - 11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 - 100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2.7.2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11.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Стоянка транспортных средств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- 0,002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 - 0 этажей;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 - 0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4.9.2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ind w:left="0" w:right="0" w:firstLine="0"/>
        <w:jc w:val="both"/>
        <w:spacing w:before="0" w:beforeAutospacing="0" w:after="0" w:line="283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1.1.5. Для земельных участков и объектов капитального строительства, расположенных в пределах зоны Ж-1 (подзоны Ж-1.1, Ж-1.2, Ж-1.3), устанавливаются следующие вспомогательные виды использования: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0"/>
        <w:jc w:val="both"/>
        <w:spacing w:before="0" w:beforeAutospacing="0" w:after="0" w:line="283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 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tbl>
      <w:tblPr>
        <w:tblStyle w:val="95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35"/>
        <w:gridCol w:w="7860"/>
        <w:gridCol w:w="72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N п/п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Вид использования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Код вида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для индивидуального жилищного строительства: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выращивание сельскохозяйственных культур; размещение гаражей для собственных нужд и хозяйственных построек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для блокированной жилой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2.3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для малоэтажной многоквартирной жилой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обустройство спортивных и детских площадок, площадок отдыха;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 процентов обще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й площади помещений дома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2.1.1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ind w:left="0" w:right="0" w:firstLine="0"/>
        <w:jc w:val="both"/>
        <w:spacing w:before="0" w:beforeAutospacing="0" w:after="0" w:line="283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1.1.6. Иные параметры, применяемые к объектам и территориям, расположенным в подзонах зоны Ж-1: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83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Минимальный процент площади озеленения земельного участка - 25 процентов от общей площади земельного участка.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83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Процент площади участков, предназначенных для размещения объектов капитального строительства (здания общественно-делового назначения и коммунальные объекты), - 10 процентов от общей площади территории подзон зоны Ж-1.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83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Для подзоны Ж-1.1 максимальная площадь застройки и предельные параметры отдельно стоящего объекта капитального строительства - 300 м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vertAlign w:val="superscript"/>
        </w:rPr>
        <w:t xml:space="preserve">2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, при максимальных параметрах объекта (длина/ширина) - 15,0 м x 20,0 м.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83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Минимальный размер интервалов в уличном фронте застройки - 12 м, максимальный размер интервалов в уличном фронте застройки - 50 м.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83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Отступ объекта капитального строительства от красных линий кварталов: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83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- для жилых зданий - от 0 до 6 м (по линии застройки);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83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- для прочих - от 0 до 25 м (в соответствии со строительными нормами и правилами).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83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Иные параметры, применяемые для прочих отдельно стоящих зданий и сооружений, в том числе некапитальных строений и сооружений: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83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- максимальный процент застройки земельного участка - 10 процентов от общей площади участка;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83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- максимальная высота - не устанавливается.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»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firstLine="709"/>
        <w:jc w:val="both"/>
        <w:rPr>
          <w:sz w:val="22"/>
          <w:szCs w:val="22"/>
          <w:highlight w:val="none"/>
          <w14:ligatures w14:val="none"/>
        </w:rPr>
      </w:pPr>
      <w:r>
        <w:rPr>
          <w:sz w:val="22"/>
          <w:szCs w:val="22"/>
        </w:rPr>
        <w:br w:type="page" w:clear="all"/>
      </w:r>
      <w:r>
        <w:rPr>
          <w:sz w:val="22"/>
          <w:szCs w:val="22"/>
          <w:highlight w:val="none"/>
          <w14:ligatures w14:val="none"/>
        </w:rPr>
      </w:r>
      <w:r>
        <w:rPr>
          <w:sz w:val="22"/>
          <w:szCs w:val="22"/>
          <w:highlight w:val="none"/>
          <w14:ligatures w14:val="none"/>
        </w:rPr>
      </w:r>
    </w:p>
    <w:p>
      <w:pPr>
        <w:pStyle w:val="753"/>
        <w:ind w:firstLine="709"/>
        <w:jc w:val="right"/>
        <w:widowControl w:val="off"/>
      </w:pPr>
      <w:r>
        <w:rPr>
          <w:sz w:val="20"/>
          <w:szCs w:val="20"/>
        </w:rPr>
        <w:t xml:space="preserve">Приложение 1</w:t>
      </w:r>
      <w:r>
        <w:rPr>
          <w:sz w:val="20"/>
          <w:szCs w:val="20"/>
        </w:rPr>
      </w:r>
      <w:r/>
    </w:p>
    <w:p>
      <w:pPr>
        <w:pStyle w:val="753"/>
        <w:ind w:firstLine="851"/>
        <w:jc w:val="both"/>
        <w:widowControl w:val="off"/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pStyle w:val="753"/>
        <w:jc w:val="center"/>
      </w:pPr>
      <w:r>
        <w:rPr>
          <w:b/>
          <w:lang w:eastAsia="zh-CN"/>
        </w:rPr>
        <w:t xml:space="preserve">ФОРМА</w:t>
      </w:r>
      <w:r>
        <w:rPr>
          <w:b/>
          <w:sz w:val="20"/>
          <w:szCs w:val="20"/>
          <w:lang w:eastAsia="zh-CN"/>
        </w:rPr>
        <w:t xml:space="preserve"> </w:t>
      </w:r>
      <w:r>
        <w:rPr>
          <w:b/>
          <w:lang w:eastAsia="zh-CN"/>
        </w:rPr>
        <w:t xml:space="preserve">ЗАЯВКИ </w:t>
      </w:r>
      <w:r>
        <w:rPr>
          <w:b/>
          <w:sz w:val="22"/>
          <w:szCs w:val="22"/>
          <w:lang w:eastAsia="zh-CN"/>
        </w:rPr>
        <w:t xml:space="preserve">НА УЧАСТИЕ В АУКЦИОНЕ В ЭЛЕКТРОННОЙ ФОРМЕ</w:t>
      </w:r>
      <w:r>
        <w:rPr>
          <w:b/>
          <w:sz w:val="22"/>
          <w:szCs w:val="22"/>
          <w:lang w:eastAsia="zh-CN"/>
        </w:rPr>
      </w:r>
      <w:r/>
    </w:p>
    <w:p>
      <w:pPr>
        <w:pStyle w:val="753"/>
      </w:pPr>
      <w:r>
        <w:rPr>
          <w:b/>
          <w:sz w:val="2"/>
          <w:szCs w:val="10"/>
          <w:lang w:eastAsia="zh-CN"/>
        </w:rPr>
      </w:r>
      <w:r>
        <w:rPr>
          <w:b/>
          <w:sz w:val="2"/>
          <w:szCs w:val="10"/>
          <w:lang w:eastAsia="zh-CN"/>
        </w:rPr>
      </w:r>
      <w:r/>
    </w:p>
    <w:p>
      <w:pPr>
        <w:pStyle w:val="753"/>
      </w:pPr>
      <w:r>
        <w:rPr>
          <w:b/>
          <w:sz w:val="19"/>
          <w:szCs w:val="19"/>
          <w:lang w:eastAsia="zh-CN"/>
        </w:rPr>
        <w:t xml:space="preserve">В Управление имущественных и земельных отношений Администрации города Костромы</w:t>
      </w:r>
      <w:r>
        <w:rPr>
          <w:b/>
          <w:sz w:val="19"/>
          <w:szCs w:val="19"/>
          <w:lang w:eastAsia="zh-CN"/>
        </w:rPr>
      </w:r>
      <w:r/>
    </w:p>
    <w:p>
      <w:pPr>
        <w:pStyle w:val="753"/>
      </w:pPr>
      <w:r>
        <w:rPr>
          <w:b/>
          <w:sz w:val="19"/>
          <w:szCs w:val="19"/>
          <w:lang w:eastAsia="zh-CN"/>
        </w:rPr>
        <w:t xml:space="preserve">Заявитель</w:t>
      </w:r>
      <w:r>
        <w:rPr>
          <w:sz w:val="19"/>
          <w:szCs w:val="19"/>
          <w:lang w:eastAsia="zh-CN"/>
        </w:rPr>
        <w:t xml:space="preserve"> </w:t>
      </w:r>
      <w:r>
        <w:rPr>
          <w:sz w:val="19"/>
          <w:szCs w:val="19"/>
          <w:lang w:eastAsia="zh-CN"/>
        </w:rPr>
      </w:r>
      <w:r/>
    </w:p>
    <w:p>
      <w:pPr>
        <w:pStyle w:val="753"/>
        <w:pBdr>
          <w:bottom w:val="single" w:color="000000" w:sz="4" w:space="0"/>
        </w:pBdr>
      </w:pPr>
      <w:r>
        <w:rPr>
          <w:sz w:val="19"/>
          <w:szCs w:val="19"/>
          <w:lang w:eastAsia="zh-CN"/>
        </w:rPr>
      </w:r>
      <w:r>
        <w:rPr>
          <w:sz w:val="19"/>
          <w:szCs w:val="19"/>
          <w:lang w:eastAsia="zh-CN"/>
        </w:rPr>
      </w:r>
      <w:r/>
    </w:p>
    <w:p>
      <w:pPr>
        <w:pStyle w:val="753"/>
        <w:jc w:val="center"/>
      </w:pPr>
      <w:r>
        <w:rPr>
          <w:sz w:val="18"/>
          <w:szCs w:val="18"/>
          <w:lang w:eastAsia="zh-CN"/>
        </w:rPr>
        <w:t xml:space="preserve">           </w:t>
      </w:r>
      <w:r>
        <w:rPr>
          <w:sz w:val="16"/>
          <w:szCs w:val="18"/>
          <w:lang w:eastAsia="zh-CN"/>
        </w:rPr>
        <w:t xml:space="preserve">(</w:t>
      </w:r>
      <w:r>
        <w:rPr>
          <w:bCs/>
          <w:sz w:val="16"/>
          <w:szCs w:val="18"/>
          <w:lang w:eastAsia="zh-CN"/>
        </w:rPr>
        <w:t xml:space="preserve">Ф.И.О., гражданина,  индивидуального предпринимателя,</w:t>
      </w:r>
      <w:r>
        <w:rPr>
          <w:bCs/>
          <w:sz w:val="16"/>
          <w:szCs w:val="18"/>
          <w:lang w:eastAsia="zh-CN"/>
        </w:rPr>
        <w:br/>
      </w:r>
      <w:r>
        <w:rPr>
          <w:bCs/>
          <w:sz w:val="16"/>
          <w:szCs w:val="18"/>
          <w:lang w:eastAsia="zh-CN"/>
        </w:rPr>
        <w:t xml:space="preserve">наименование юридического лица с указанием организационно-правовой формы</w:t>
      </w:r>
      <w:r>
        <w:rPr>
          <w:sz w:val="16"/>
          <w:szCs w:val="18"/>
          <w:lang w:eastAsia="zh-CN"/>
        </w:rPr>
        <w:t xml:space="preserve">)</w:t>
      </w:r>
      <w:r>
        <w:rPr>
          <w:sz w:val="18"/>
          <w:szCs w:val="18"/>
          <w:lang w:eastAsia="zh-CN"/>
        </w:rPr>
      </w:r>
      <w:r/>
    </w:p>
    <w:p>
      <w:pPr>
        <w:pStyle w:val="753"/>
        <w:jc w:val="both"/>
        <w:pBdr>
          <w:bottom w:val="single" w:color="000000" w:sz="4" w:space="0"/>
        </w:pBdr>
      </w:pPr>
      <w:r>
        <w:rPr>
          <w:b/>
          <w:sz w:val="19"/>
          <w:szCs w:val="19"/>
          <w:lang w:eastAsia="zh-CN"/>
        </w:rPr>
        <w:t xml:space="preserve">в лице</w:t>
      </w:r>
      <w:r>
        <w:rPr>
          <w:sz w:val="19"/>
          <w:szCs w:val="19"/>
          <w:lang w:eastAsia="zh-CN"/>
        </w:rPr>
        <w:t xml:space="preserve"> </w:t>
        <w:tab/>
        <w:t xml:space="preserve"> </w:t>
      </w:r>
      <w:r>
        <w:rPr>
          <w:sz w:val="19"/>
          <w:szCs w:val="19"/>
          <w:lang w:eastAsia="zh-CN"/>
        </w:rPr>
      </w:r>
      <w:r/>
    </w:p>
    <w:p>
      <w:pPr>
        <w:pStyle w:val="753"/>
        <w:jc w:val="center"/>
      </w:pPr>
      <w:r>
        <w:rPr>
          <w:sz w:val="16"/>
          <w:szCs w:val="18"/>
          <w:lang w:eastAsia="zh-CN"/>
        </w:rPr>
        <w:t xml:space="preserve">(</w:t>
      </w:r>
      <w:r>
        <w:rPr>
          <w:bCs/>
          <w:sz w:val="16"/>
          <w:szCs w:val="18"/>
          <w:lang w:eastAsia="zh-CN"/>
        </w:rPr>
        <w:t xml:space="preserve">Ф.И.О. руководителя юридического лица или уполномоченного лица, лица действующего на основании доверенности</w:t>
      </w:r>
      <w:r>
        <w:rPr>
          <w:sz w:val="16"/>
          <w:szCs w:val="18"/>
          <w:lang w:eastAsia="zh-CN"/>
        </w:rPr>
        <w:t xml:space="preserve">)</w:t>
      </w:r>
      <w:r>
        <w:rPr>
          <w:sz w:val="18"/>
          <w:szCs w:val="18"/>
          <w:lang w:eastAsia="zh-CN"/>
        </w:rPr>
      </w:r>
      <w:r/>
    </w:p>
    <w:p>
      <w:pPr>
        <w:pStyle w:val="753"/>
        <w:jc w:val="both"/>
        <w:pBdr>
          <w:bottom w:val="single" w:color="000000" w:sz="4" w:space="0"/>
        </w:pBdr>
      </w:pPr>
      <w:r>
        <w:rPr>
          <w:b/>
          <w:bCs/>
          <w:sz w:val="19"/>
          <w:szCs w:val="19"/>
          <w:lang w:eastAsia="zh-CN"/>
        </w:rPr>
        <w:t xml:space="preserve">действующего на основании</w:t>
      </w:r>
      <w:r>
        <w:rPr>
          <w:rStyle w:val="790"/>
          <w:b/>
          <w:bCs/>
          <w:sz w:val="19"/>
          <w:szCs w:val="19"/>
          <w:vertAlign w:val="superscript"/>
          <w:lang w:eastAsia="zh-CN"/>
        </w:rPr>
        <w:footnoteReference w:id="2"/>
      </w:r>
      <w:r>
        <w:rPr>
          <w:b/>
          <w:bCs/>
          <w:sz w:val="19"/>
          <w:szCs w:val="19"/>
          <w:lang w:eastAsia="zh-CN"/>
        </w:rPr>
        <w:t xml:space="preserve"> </w:t>
      </w:r>
      <w:r>
        <w:rPr>
          <w:b/>
          <w:bCs/>
          <w:sz w:val="19"/>
          <w:szCs w:val="19"/>
          <w:lang w:eastAsia="zh-CN"/>
        </w:rPr>
      </w:r>
      <w:r/>
    </w:p>
    <w:p>
      <w:pPr>
        <w:pStyle w:val="753"/>
        <w:jc w:val="center"/>
      </w:pPr>
      <w:r>
        <w:rPr>
          <w:sz w:val="18"/>
          <w:szCs w:val="20"/>
          <w:lang w:eastAsia="zh-CN"/>
        </w:rPr>
        <w:t xml:space="preserve">(</w:t>
      </w:r>
      <w:r>
        <w:rPr>
          <w:sz w:val="16"/>
          <w:szCs w:val="18"/>
          <w:lang w:eastAsia="zh-CN"/>
        </w:rPr>
        <w:t xml:space="preserve">Устав, Положение, Соглашение, Доверенности и т.д</w:t>
      </w:r>
      <w:r>
        <w:rPr>
          <w:sz w:val="18"/>
          <w:szCs w:val="20"/>
          <w:lang w:eastAsia="zh-CN"/>
        </w:rPr>
        <w:t xml:space="preserve">.)</w:t>
      </w:r>
      <w:r>
        <w:rPr>
          <w:b/>
          <w:lang w:eastAsia="zh-CN"/>
        </w:rPr>
      </w:r>
      <w:r/>
    </w:p>
    <w:tbl>
      <w:tblPr>
        <w:tblW w:w="10496" w:type="dxa"/>
        <w:tblInd w:w="-76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00" w:firstRow="0" w:lastRow="0" w:firstColumn="0" w:lastColumn="0" w:noHBand="0" w:noVBand="0"/>
      </w:tblPr>
      <w:tblGrid>
        <w:gridCol w:w="10496"/>
      </w:tblGrid>
      <w:tr>
        <w:tblPrEx/>
        <w:trPr>
          <w:trHeight w:val="1124"/>
        </w:trPr>
        <w:tc>
          <w:tcPr>
            <w:shd w:val="clear" w:color="ffffff" w:fill="ffffff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W w:w="10496" w:type="dxa"/>
            <w:vAlign w:val="center"/>
            <w:textDirection w:val="lrTb"/>
            <w:noWrap w:val="false"/>
          </w:tcPr>
          <w:p>
            <w:pPr>
              <w:pStyle w:val="753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Паспортные данные Заявителя: серия                                                   №                                                                                         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53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дата выдачи</w:t>
            </w:r>
            <w:r>
              <w:rPr>
                <w:sz w:val="18"/>
                <w:szCs w:val="18"/>
                <w:lang w:eastAsia="zh-CN"/>
              </w:rPr>
              <w:t xml:space="preserve">_______________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53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кем выдан: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53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Адрес: 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53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Контактный телефон:  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53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ОГРНИП (для индивидуального предпринимателя): №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53"/>
              <w:jc w:val="both"/>
              <w:widowControl w:val="off"/>
              <w:rPr>
                <w:lang w:eastAsia="zh-CN"/>
              </w:rPr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ИНН                                       КПП                                          ОГРН                         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179"/>
        </w:trPr>
        <w:tc>
          <w:tcPr>
            <w:shd w:val="clear" w:color="ffffff" w:fill="ffffff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W w:w="10496" w:type="dxa"/>
            <w:textDirection w:val="lrTb"/>
            <w:noWrap w:val="false"/>
          </w:tcPr>
          <w:p>
            <w:pPr>
              <w:pStyle w:val="753"/>
              <w:widowControl w:val="off"/>
              <w:pBdr>
                <w:bottom w:val="single" w:color="000000" w:sz="4" w:space="0"/>
              </w:pBdr>
            </w:pPr>
            <w:r>
              <w:rPr>
                <w:b/>
                <w:sz w:val="18"/>
                <w:szCs w:val="18"/>
                <w:lang w:eastAsia="zh-CN"/>
              </w:rPr>
              <w:t xml:space="preserve">Представитель Заявителя</w:t>
            </w:r>
            <w:r>
              <w:rPr>
                <w:rStyle w:val="790"/>
                <w:b/>
                <w:sz w:val="18"/>
                <w:szCs w:val="18"/>
                <w:vertAlign w:val="superscript"/>
                <w:lang w:eastAsia="zh-CN"/>
              </w:rPr>
              <w:footnoteReference w:id="3"/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</w:r>
            <w:r/>
          </w:p>
          <w:p>
            <w:pPr>
              <w:pStyle w:val="753"/>
              <w:jc w:val="center"/>
              <w:widowControl w:val="off"/>
            </w:pPr>
            <w:r>
              <w:rPr>
                <w:b/>
                <w:sz w:val="16"/>
                <w:szCs w:val="18"/>
                <w:lang w:eastAsia="zh-CN"/>
              </w:rPr>
              <w:t xml:space="preserve">(Ф.И.О,)</w:t>
            </w:r>
            <w:r>
              <w:rPr>
                <w:b/>
                <w:sz w:val="16"/>
                <w:szCs w:val="18"/>
                <w:lang w:eastAsia="zh-CN"/>
              </w:rPr>
            </w:r>
            <w:r/>
          </w:p>
          <w:p>
            <w:pPr>
              <w:pStyle w:val="753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Паспортные данные представителя: серия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53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дата выдачи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53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кем выдан:   </w:t>
            </w:r>
            <w:r>
              <w:fldChar w:fldCharType="begin"/>
            </w:r>
            <w:r>
              <w:rPr>
                <w:sz w:val="18"/>
                <w:szCs w:val="18"/>
                <w:u w:val="single"/>
                <w:lang w:eastAsia="zh-CN"/>
              </w:rPr>
              <w:instrText xml:space="preserve">RepresentativePassportIssuer</w:instrText>
            </w:r>
            <w:r>
              <w:rPr>
                <w:sz w:val="18"/>
                <w:szCs w:val="18"/>
                <w:u w:val="single"/>
                <w:lang w:eastAsia="zh-CN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  <w:lang w:eastAsia="zh-CN"/>
              </w:rPr>
              <w:t xml:space="preserve">  </w:t>
            </w:r>
            <w:r>
              <w:rPr>
                <w:sz w:val="18"/>
                <w:szCs w:val="18"/>
                <w:u w:val="single"/>
                <w:lang w:eastAsia="zh-CN"/>
              </w:rPr>
              <w:fldChar w:fldCharType="end"/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53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Адрес:  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53"/>
              <w:jc w:val="both"/>
              <w:widowControl w:val="off"/>
              <w:rPr>
                <w:rFonts w:eastAsia="Calibri"/>
                <w:b/>
                <w:bCs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Контактный телефон:   </w:t>
            </w:r>
            <w:r>
              <w:fldChar w:fldCharType="begin"/>
            </w:r>
            <w:r>
              <w:rPr>
                <w:sz w:val="18"/>
                <w:szCs w:val="18"/>
                <w:u w:val="single"/>
                <w:lang w:eastAsia="zh-CN"/>
              </w:rPr>
              <w:instrText xml:space="preserve">RepresentativePhoneNumber</w:instrText>
            </w:r>
            <w:r>
              <w:rPr>
                <w:sz w:val="18"/>
                <w:szCs w:val="18"/>
                <w:u w:val="single"/>
                <w:lang w:eastAsia="zh-CN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  <w:lang w:eastAsia="zh-CN"/>
              </w:rPr>
              <w:t xml:space="preserve"> </w:t>
            </w:r>
            <w:r>
              <w:rPr>
                <w:sz w:val="18"/>
                <w:szCs w:val="18"/>
                <w:u w:val="single"/>
                <w:lang w:eastAsia="zh-CN"/>
              </w:rPr>
              <w:fldChar w:fldCharType="end"/>
            </w:r>
            <w:r>
              <w:rPr>
                <w:rFonts w:eastAsia="Calibri"/>
                <w:b/>
                <w:bCs/>
                <w:sz w:val="18"/>
                <w:szCs w:val="18"/>
                <w:lang w:eastAsia="zh-CN"/>
              </w:rPr>
            </w:r>
            <w:r>
              <w:rPr>
                <w:rFonts w:eastAsia="Calibri"/>
                <w:b/>
                <w:bCs/>
                <w:sz w:val="18"/>
                <w:szCs w:val="18"/>
                <w:lang w:eastAsia="zh-CN"/>
              </w:rPr>
            </w:r>
          </w:p>
        </w:tc>
      </w:tr>
    </w:tbl>
    <w:p>
      <w:pPr>
        <w:pStyle w:val="753"/>
        <w:ind w:hanging="1"/>
        <w:jc w:val="both"/>
        <w:widowControl w:val="off"/>
      </w:pPr>
      <w:r>
        <w:rPr>
          <w:sz w:val="18"/>
          <w:szCs w:val="18"/>
          <w:lang w:eastAsia="zh-CN"/>
        </w:rPr>
      </w:r>
      <w:r>
        <w:rPr>
          <w:b/>
          <w:sz w:val="18"/>
          <w:szCs w:val="18"/>
          <w:lang w:eastAsia="zh-CN"/>
        </w:rPr>
        <w:t xml:space="preserve">принял решение об участии в аукционе на право заключения договора аренды земельного участка </w:t>
      </w:r>
      <w:r>
        <w:rPr>
          <w:b/>
          <w:sz w:val="18"/>
          <w:szCs w:val="18"/>
          <w:lang w:eastAsia="zh-CN"/>
        </w:rPr>
        <w:t xml:space="preserve">с кадастровым номером:_______________________________________, расположенного по адресу (местоположение): ___________________________________________________________________________, в электронной форме, и обязуется обеспечить поступление задатка в размере</w:t>
      </w:r>
      <w:r>
        <w:rPr>
          <w:sz w:val="18"/>
          <w:szCs w:val="18"/>
          <w:u w:val="single"/>
          <w:lang w:eastAsia="zh-CN"/>
        </w:rPr>
        <w:t xml:space="preserve">                                                                            </w:t>
      </w:r>
      <w:r>
        <w:rPr>
          <w:b/>
          <w:sz w:val="18"/>
          <w:szCs w:val="18"/>
          <w:lang w:eastAsia="zh-CN"/>
        </w:rPr>
        <w:t xml:space="preserve">руб.</w:t>
      </w:r>
      <w:r>
        <w:rPr>
          <w:sz w:val="18"/>
          <w:szCs w:val="18"/>
          <w:u w:val="single"/>
          <w:lang w:eastAsia="zh-CN"/>
        </w:rPr>
        <w:t xml:space="preserve">            (сумма прописью)</w:t>
      </w:r>
      <w:r>
        <w:rPr>
          <w:sz w:val="18"/>
          <w:szCs w:val="18"/>
          <w:lang w:eastAsia="zh-CN"/>
        </w:rPr>
        <w:t xml:space="preserve">, </w:t>
      </w:r>
      <w:r>
        <w:rPr>
          <w:b/>
          <w:sz w:val="18"/>
          <w:szCs w:val="18"/>
          <w:lang w:eastAsia="zh-CN"/>
        </w:rPr>
        <w:t xml:space="preserve">в сроки и в порядке, установленные в Извещении о проведении аукциона в электронной форме, и в соответствии с Регламентом Оператора электронной площадки.</w:t>
      </w:r>
      <w:r>
        <w:rPr>
          <w:b/>
          <w:sz w:val="18"/>
          <w:szCs w:val="18"/>
          <w:lang w:eastAsia="zh-CN"/>
        </w:rPr>
      </w:r>
      <w:r/>
    </w:p>
    <w:p>
      <w:pPr>
        <w:pStyle w:val="753"/>
        <w:ind w:firstLine="142"/>
        <w:jc w:val="both"/>
        <w:widowControl w:val="off"/>
      </w:pPr>
      <w:r>
        <w:rPr>
          <w:sz w:val="18"/>
          <w:szCs w:val="18"/>
        </w:rPr>
      </w:r>
      <w:r>
        <w:rPr>
          <w:sz w:val="18"/>
          <w:szCs w:val="18"/>
        </w:rPr>
      </w:r>
      <w:r/>
    </w:p>
    <w:p>
      <w:pPr>
        <w:pStyle w:val="753"/>
        <w:ind w:firstLine="142"/>
        <w:jc w:val="both"/>
        <w:widowControl w:val="off"/>
      </w:pPr>
      <w:r>
        <w:rPr>
          <w:b/>
          <w:sz w:val="18"/>
          <w:szCs w:val="18"/>
        </w:rPr>
        <w:t xml:space="preserve">Банковские реквизиты для возврата задатка:</w:t>
      </w:r>
      <w:r>
        <w:rPr>
          <w:b/>
          <w:sz w:val="18"/>
          <w:szCs w:val="18"/>
        </w:rPr>
      </w:r>
      <w:r/>
    </w:p>
    <w:p>
      <w:pPr>
        <w:pStyle w:val="753"/>
        <w:ind w:firstLine="142"/>
        <w:jc w:val="both"/>
        <w:widowControl w:val="off"/>
      </w:pPr>
      <w:r>
        <w:rPr>
          <w:sz w:val="18"/>
          <w:szCs w:val="18"/>
        </w:rPr>
        <w:t xml:space="preserve">Банк ______________________________________________________________________________________________</w:t>
      </w:r>
      <w:r>
        <w:rPr>
          <w:sz w:val="18"/>
          <w:szCs w:val="18"/>
        </w:rPr>
      </w:r>
      <w:r/>
    </w:p>
    <w:p>
      <w:pPr>
        <w:pStyle w:val="753"/>
        <w:ind w:firstLine="142"/>
        <w:jc w:val="both"/>
        <w:widowControl w:val="off"/>
      </w:pPr>
      <w:r>
        <w:rPr>
          <w:sz w:val="18"/>
          <w:szCs w:val="18"/>
        </w:rPr>
        <w:t xml:space="preserve">Расчётный счёт _______________________________ Корреспондентский счёт _______________________________</w:t>
      </w:r>
      <w:r>
        <w:rPr>
          <w:sz w:val="18"/>
          <w:szCs w:val="18"/>
        </w:rPr>
      </w:r>
      <w:r/>
    </w:p>
    <w:p>
      <w:pPr>
        <w:pStyle w:val="753"/>
        <w:ind w:firstLine="142"/>
        <w:jc w:val="both"/>
        <w:widowControl w:val="off"/>
      </w:pPr>
      <w:r>
        <w:rPr>
          <w:sz w:val="18"/>
          <w:szCs w:val="18"/>
        </w:rPr>
        <w:t xml:space="preserve">БИК_________________________________________ Лицевой счёт _________________________________________</w:t>
      </w:r>
      <w:r>
        <w:rPr>
          <w:sz w:val="18"/>
          <w:szCs w:val="18"/>
        </w:rPr>
      </w:r>
      <w:r/>
    </w:p>
    <w:p>
      <w:pPr>
        <w:pStyle w:val="753"/>
        <w:ind w:firstLine="142"/>
        <w:jc w:val="both"/>
        <w:widowControl w:val="off"/>
      </w:pPr>
      <w:r>
        <w:rPr>
          <w:sz w:val="18"/>
          <w:szCs w:val="18"/>
        </w:rPr>
        <w:t xml:space="preserve">Ф. И. О. (наименование) получателя ___________________________________________________________________</w:t>
      </w:r>
      <w:r>
        <w:rPr>
          <w:sz w:val="18"/>
          <w:szCs w:val="18"/>
        </w:rPr>
      </w:r>
      <w:r/>
    </w:p>
    <w:p>
      <w:pPr>
        <w:pStyle w:val="753"/>
        <w:ind w:firstLine="142"/>
        <w:jc w:val="both"/>
        <w:widowControl w:val="off"/>
      </w:pPr>
      <w:r>
        <w:rPr>
          <w:b/>
          <w:sz w:val="18"/>
          <w:szCs w:val="18"/>
          <w:lang w:eastAsia="zh-CN"/>
        </w:rPr>
      </w:r>
      <w:r>
        <w:rPr>
          <w:b/>
          <w:sz w:val="18"/>
          <w:szCs w:val="18"/>
          <w:lang w:eastAsia="zh-CN"/>
        </w:rPr>
      </w:r>
      <w:r/>
    </w:p>
    <w:p>
      <w:pPr>
        <w:pStyle w:val="753"/>
        <w:numPr>
          <w:ilvl w:val="0"/>
          <w:numId w:val="12"/>
        </w:numPr>
        <w:ind w:left="142" w:hanging="142"/>
        <w:jc w:val="both"/>
      </w:pPr>
      <w:r>
        <w:rPr>
          <w:sz w:val="18"/>
          <w:szCs w:val="18"/>
          <w:lang w:eastAsia="zh-CN"/>
        </w:rPr>
        <w:t xml:space="preserve">Заявитель обязуется:</w:t>
      </w:r>
      <w:r>
        <w:rPr>
          <w:sz w:val="18"/>
          <w:szCs w:val="18"/>
          <w:lang w:eastAsia="zh-CN"/>
        </w:rPr>
      </w:r>
      <w:r/>
    </w:p>
    <w:p>
      <w:pPr>
        <w:pStyle w:val="753"/>
        <w:numPr>
          <w:ilvl w:val="1"/>
          <w:numId w:val="12"/>
        </w:numPr>
        <w:ind w:left="142" w:hanging="142"/>
        <w:jc w:val="both"/>
      </w:pPr>
      <w:r>
        <w:rPr>
          <w:sz w:val="18"/>
          <w:szCs w:val="18"/>
          <w:lang w:eastAsia="zh-CN"/>
        </w:rPr>
        <w:t xml:space="preserve">Соблюдать условия и порядок проведения аукциона в электронной форме, содержащиеся в Извещении о проведении аукциона в электронной форме и Регламенте Оператора электронной площадки.</w:t>
      </w:r>
      <w:r>
        <w:rPr>
          <w:rStyle w:val="790"/>
          <w:sz w:val="18"/>
          <w:szCs w:val="18"/>
          <w:vertAlign w:val="superscript"/>
          <w:lang w:eastAsia="zh-CN"/>
        </w:rPr>
        <w:footnoteReference w:id="4"/>
      </w:r>
      <w:r>
        <w:rPr>
          <w:sz w:val="18"/>
          <w:szCs w:val="18"/>
          <w:lang w:eastAsia="zh-CN"/>
        </w:rPr>
      </w:r>
      <w:r/>
    </w:p>
    <w:p>
      <w:pPr>
        <w:pStyle w:val="753"/>
        <w:numPr>
          <w:ilvl w:val="1"/>
          <w:numId w:val="12"/>
        </w:numPr>
        <w:ind w:left="142" w:hanging="142"/>
        <w:jc w:val="both"/>
      </w:pPr>
      <w:r>
        <w:rPr>
          <w:sz w:val="18"/>
          <w:szCs w:val="18"/>
          <w:lang w:eastAsia="zh-CN"/>
        </w:rPr>
        <w:t xml:space="preserve">В случае признания Победителем аукциона в электронной форме, а также в иных случаях, предусмо</w:t>
      </w:r>
      <w:r>
        <w:rPr>
          <w:sz w:val="18"/>
          <w:szCs w:val="18"/>
          <w:lang w:eastAsia="zh-CN"/>
        </w:rPr>
        <w:t xml:space="preserve">тренных пунктами 13 и 14 статьи 39.12 Земельного кодекса Российской Федерации, заключить договор с Арендодателем (Продавцом) в соответствии с порядком, сроками и требованиями, установленными Извещением о проведении аукциона в электронной форме и договором.</w:t>
      </w:r>
      <w:r>
        <w:rPr>
          <w:sz w:val="18"/>
          <w:szCs w:val="18"/>
          <w:lang w:eastAsia="zh-CN"/>
        </w:rPr>
      </w:r>
      <w:r/>
    </w:p>
    <w:p>
      <w:pPr>
        <w:pStyle w:val="753"/>
        <w:numPr>
          <w:ilvl w:val="0"/>
          <w:numId w:val="12"/>
        </w:numPr>
        <w:ind w:left="142" w:hanging="142"/>
        <w:jc w:val="both"/>
      </w:pPr>
      <w:r>
        <w:rPr>
          <w:sz w:val="18"/>
          <w:szCs w:val="18"/>
          <w:lang w:eastAsia="zh-CN"/>
        </w:rPr>
        <w:t xml:space="preserve">Заявитель согласен и принимает все условия, требования, положения Извещени</w:t>
      </w:r>
      <w:r>
        <w:rPr>
          <w:sz w:val="18"/>
          <w:szCs w:val="18"/>
          <w:lang w:eastAsia="zh-CN"/>
        </w:rPr>
        <w:t xml:space="preserve">я о проведении аукциона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</w:t>
      </w:r>
      <w:r>
        <w:rPr>
          <w:b/>
          <w:sz w:val="18"/>
          <w:szCs w:val="18"/>
          <w:lang w:eastAsia="zh-CN"/>
        </w:rPr>
        <w:t xml:space="preserve">и не имеет претензий к ним</w:t>
      </w:r>
      <w:r>
        <w:rPr>
          <w:sz w:val="18"/>
          <w:szCs w:val="18"/>
          <w:lang w:eastAsia="zh-CN"/>
        </w:rPr>
        <w:t xml:space="preserve">.</w:t>
      </w:r>
      <w:r>
        <w:rPr>
          <w:sz w:val="18"/>
          <w:szCs w:val="18"/>
          <w:lang w:eastAsia="zh-CN"/>
        </w:rPr>
      </w:r>
      <w:r/>
    </w:p>
    <w:p>
      <w:pPr>
        <w:pStyle w:val="753"/>
        <w:numPr>
          <w:ilvl w:val="0"/>
          <w:numId w:val="12"/>
        </w:numPr>
        <w:ind w:left="142" w:hanging="142"/>
        <w:jc w:val="both"/>
      </w:pPr>
      <w:r>
        <w:rPr>
          <w:sz w:val="18"/>
          <w:szCs w:val="18"/>
          <w:lang w:eastAsia="zh-CN"/>
        </w:rPr>
        <w:t xml:space="preserve"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форме.</w:t>
      </w:r>
      <w:r>
        <w:rPr>
          <w:sz w:val="18"/>
          <w:szCs w:val="18"/>
          <w:lang w:eastAsia="zh-CN"/>
        </w:rPr>
      </w:r>
      <w:r/>
    </w:p>
    <w:p>
      <w:pPr>
        <w:pStyle w:val="753"/>
        <w:numPr>
          <w:ilvl w:val="0"/>
          <w:numId w:val="12"/>
        </w:numPr>
        <w:ind w:left="142" w:hanging="142"/>
        <w:jc w:val="both"/>
        <w:tabs>
          <w:tab w:val="left" w:pos="142" w:leader="none"/>
          <w:tab w:val="clear" w:pos="708" w:leader="none"/>
        </w:tabs>
      </w:pPr>
      <w:r>
        <w:rPr>
          <w:sz w:val="18"/>
          <w:szCs w:val="18"/>
          <w:lang w:eastAsia="zh-CN"/>
        </w:rPr>
        <w:t xml:space="preserve">Ответственность за достоверность представленных документов и информации несет Заявитель. </w:t>
      </w:r>
      <w:r>
        <w:rPr>
          <w:sz w:val="18"/>
          <w:szCs w:val="18"/>
          <w:lang w:eastAsia="zh-CN"/>
        </w:rPr>
      </w:r>
      <w:r/>
    </w:p>
    <w:p>
      <w:pPr>
        <w:pStyle w:val="753"/>
        <w:numPr>
          <w:ilvl w:val="0"/>
          <w:numId w:val="12"/>
        </w:numPr>
        <w:ind w:left="142" w:hanging="142"/>
        <w:jc w:val="both"/>
        <w:tabs>
          <w:tab w:val="left" w:pos="142" w:leader="none"/>
          <w:tab w:val="clear" w:pos="708" w:leader="none"/>
        </w:tabs>
      </w:pPr>
      <w:r>
        <w:rPr>
          <w:sz w:val="18"/>
          <w:szCs w:val="18"/>
          <w:lang w:eastAsia="zh-CN"/>
        </w:rPr>
        <w:t xml:space="preserve"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 они ему понятны.</w:t>
      </w:r>
      <w:r>
        <w:rPr>
          <w:sz w:val="18"/>
          <w:szCs w:val="18"/>
          <w:lang w:eastAsia="zh-CN"/>
        </w:rPr>
      </w:r>
      <w:r/>
    </w:p>
    <w:p>
      <w:pPr>
        <w:pStyle w:val="753"/>
        <w:numPr>
          <w:ilvl w:val="0"/>
          <w:numId w:val="12"/>
        </w:numPr>
        <w:ind w:left="142" w:hanging="142"/>
        <w:jc w:val="both"/>
        <w:tabs>
          <w:tab w:val="left" w:pos="142" w:leader="none"/>
          <w:tab w:val="clear" w:pos="708" w:leader="none"/>
        </w:tabs>
      </w:pPr>
      <w:r>
        <w:rPr>
          <w:sz w:val="18"/>
          <w:szCs w:val="18"/>
          <w:lang w:eastAsia="zh-CN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с частью 5 статьи 4</w:t>
      </w:r>
      <w:r>
        <w:rPr>
          <w:sz w:val="18"/>
          <w:szCs w:val="18"/>
          <w:lang w:eastAsia="zh-CN"/>
        </w:rPr>
        <w:t xml:space="preserve"> Федерального закона от 24.07.2007 № 209-ФЗ «О развитии малого и среднего предпринимательства в Российской Федерации» (в случае проведения аукциона в электронной форме, участниками которого могут быть только субъекты малого и среднего предпринимательства) </w:t>
      </w:r>
      <w:r>
        <w:rPr>
          <w:rStyle w:val="790"/>
          <w:sz w:val="17"/>
          <w:szCs w:val="17"/>
          <w:vertAlign w:val="superscript"/>
          <w:lang w:eastAsia="zh-CN"/>
        </w:rPr>
        <w:footnoteReference w:id="5"/>
      </w:r>
      <w:r>
        <w:rPr>
          <w:sz w:val="17"/>
          <w:szCs w:val="17"/>
          <w:lang w:eastAsia="zh-CN"/>
        </w:rPr>
        <w:t xml:space="preserve">.</w:t>
      </w:r>
      <w:r>
        <w:rPr>
          <w:sz w:val="18"/>
          <w:szCs w:val="18"/>
          <w:lang w:eastAsia="zh-CN"/>
        </w:rPr>
      </w:r>
      <w:r/>
    </w:p>
    <w:p>
      <w:pPr>
        <w:pStyle w:val="753"/>
        <w:numPr>
          <w:ilvl w:val="0"/>
          <w:numId w:val="12"/>
        </w:numPr>
        <w:ind w:left="142" w:hanging="142"/>
        <w:jc w:val="both"/>
        <w:tabs>
          <w:tab w:val="left" w:pos="142" w:leader="none"/>
          <w:tab w:val="clear" w:pos="708" w:leader="none"/>
        </w:tabs>
      </w:pPr>
      <w:r>
        <w:rPr>
          <w:sz w:val="18"/>
          <w:szCs w:val="18"/>
          <w:lang w:eastAsia="zh-CN"/>
        </w:rPr>
        <w:t xml:space="preserve">Заявитель осведомлен и согласен с тем, что Арендодатель (Прод</w:t>
      </w:r>
      <w:r>
        <w:rPr>
          <w:sz w:val="18"/>
          <w:szCs w:val="18"/>
          <w:lang w:eastAsia="zh-CN"/>
        </w:rPr>
        <w:t xml:space="preserve">авец)/Организатор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проведении аукциона в электронной форме, а также приостановление</w:t>
      </w:r>
      <w:r>
        <w:rPr>
          <w:sz w:val="18"/>
          <w:szCs w:val="18"/>
          <w:lang w:eastAsia="zh-CN"/>
        </w:rPr>
        <w:t xml:space="preserve">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</w:t>
      </w:r>
      <w:r>
        <w:rPr>
          <w:sz w:val="18"/>
          <w:szCs w:val="18"/>
          <w:lang w:eastAsia="zh-CN"/>
        </w:rPr>
        <w:t xml:space="preserve">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www.torgi.gov.</w:t>
      </w:r>
      <w:r>
        <w:rPr>
          <w:color w:val="000000"/>
          <w:sz w:val="18"/>
          <w:szCs w:val="18"/>
          <w:lang w:eastAsia="zh-CN"/>
        </w:rPr>
        <w:t xml:space="preserve">ruи сайте Оператора электронной площадки</w:t>
      </w:r>
      <w:r>
        <w:rPr>
          <w:sz w:val="18"/>
          <w:szCs w:val="18"/>
          <w:lang w:eastAsia="zh-CN"/>
        </w:rPr>
        <w:t xml:space="preserve">.</w:t>
      </w:r>
      <w:r>
        <w:rPr>
          <w:sz w:val="18"/>
          <w:szCs w:val="18"/>
          <w:lang w:eastAsia="zh-CN"/>
        </w:rPr>
      </w:r>
      <w:r/>
    </w:p>
    <w:p>
      <w:pPr>
        <w:pStyle w:val="753"/>
        <w:ind w:left="142" w:hanging="142"/>
        <w:jc w:val="both"/>
      </w:pPr>
      <w:r>
        <w:rPr>
          <w:sz w:val="18"/>
          <w:szCs w:val="18"/>
          <w:lang w:eastAsia="zh-CN"/>
        </w:rPr>
        <w:t xml:space="preserve">8.В соответствии с Ф</w:t>
      </w:r>
      <w:r>
        <w:rPr>
          <w:sz w:val="18"/>
          <w:szCs w:val="18"/>
          <w:lang w:eastAsia="zh-CN"/>
        </w:rPr>
        <w:t xml:space="preserve">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</w:t>
      </w:r>
      <w:r>
        <w:rPr>
          <w:sz w:val="18"/>
          <w:szCs w:val="18"/>
          <w:lang w:eastAsia="zh-CN"/>
        </w:rPr>
        <w:t xml:space="preserve">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</w:t>
      </w:r>
      <w:r>
        <w:rPr>
          <w:sz w:val="18"/>
          <w:szCs w:val="18"/>
          <w:lang w:eastAsia="zh-CN"/>
        </w:rPr>
        <w:t xml:space="preserve">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</w:t>
      </w:r>
      <w:r>
        <w:rPr>
          <w:sz w:val="18"/>
          <w:szCs w:val="18"/>
          <w:lang w:eastAsia="zh-CN"/>
        </w:rPr>
        <w:t xml:space="preserve">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№152-ФЗ, права и обязанности в области защиты персональных данных ему известны.</w:t>
      </w:r>
      <w:r>
        <w:rPr>
          <w:sz w:val="18"/>
          <w:szCs w:val="18"/>
          <w:lang w:eastAsia="zh-CN"/>
        </w:rPr>
      </w:r>
      <w:r/>
    </w:p>
    <w:p>
      <w:pPr>
        <w:pStyle w:val="753"/>
        <w:spacing w:before="0" w:after="160" w:line="259" w:lineRule="auto"/>
      </w:pPr>
      <w:r>
        <w:rPr>
          <w:szCs w:val="28"/>
          <w:lang w:eastAsia="zh-CN"/>
        </w:rPr>
      </w:r>
      <w:r>
        <w:rPr>
          <w:szCs w:val="28"/>
          <w:lang w:eastAsia="zh-CN"/>
        </w:rPr>
      </w:r>
      <w:r/>
    </w:p>
    <w:p>
      <w:pPr>
        <w:pStyle w:val="753"/>
        <w:spacing w:before="0" w:after="160" w:line="259" w:lineRule="auto"/>
      </w:pPr>
      <w:r>
        <w:rPr>
          <w:szCs w:val="28"/>
          <w:lang w:eastAsia="zh-CN"/>
        </w:rPr>
        <w:t xml:space="preserve">Подписано усиленной квалифицированной электронной подписью</w:t>
      </w:r>
      <w:r>
        <w:rPr>
          <w:bCs/>
          <w:szCs w:val="28"/>
          <w:lang w:eastAsia="zh-CN"/>
        </w:rPr>
      </w:r>
      <w:r/>
    </w:p>
    <w:tbl>
      <w:tblPr>
        <w:tblStyle w:val="953"/>
        <w:tblW w:w="5000" w:type="pct"/>
        <w:tblInd w:w="0" w:type="dxa"/>
        <w:tblLayout w:type="fixed"/>
        <w:tblCellMar>
          <w:left w:w="85" w:type="dxa"/>
          <w:top w:w="28" w:type="dxa"/>
          <w:right w:w="85" w:type="dxa"/>
          <w:bottom w:w="28" w:type="dxa"/>
        </w:tblCellMar>
        <w:tblLook w:val="04A0" w:firstRow="1" w:lastRow="0" w:firstColumn="1" w:lastColumn="0" w:noHBand="0" w:noVBand="1"/>
      </w:tblPr>
      <w:tblGrid>
        <w:gridCol w:w="9498"/>
      </w:tblGrid>
      <w:tr>
        <w:tblPrEx/>
        <w:trPr>
          <w:trHeight w:val="262"/>
        </w:trPr>
        <w:tc>
          <w:tcPr>
            <w:tcBorders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3"/>
              <w:jc w:val="left"/>
              <w:spacing w:before="120" w:after="0"/>
              <w:widowControl/>
              <w:rPr>
                <w:bCs/>
              </w:rPr>
            </w:pPr>
            <w:r>
              <w:rPr>
                <w:b/>
                <w:sz w:val="16"/>
                <w:szCs w:val="16"/>
                <w:lang w:val="ru-RU" w:eastAsia="zh-CN" w:bidi="ar-SA"/>
              </w:rPr>
              <w:t xml:space="preserve">Данные электронной подписи</w:t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trHeight w:val="17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3"/>
              <w:jc w:val="left"/>
              <w:spacing w:before="0" w:after="0"/>
              <w:widowControl/>
              <w:rPr>
                <w:lang w:eastAsia="zh-CN"/>
              </w:rPr>
            </w:pPr>
            <w:r>
              <w:rPr>
                <w:sz w:val="16"/>
                <w:szCs w:val="16"/>
                <w:lang w:val="ru-RU" w:eastAsia="zh-CN" w:bidi="ar-SA"/>
              </w:rPr>
              <w:t xml:space="preserve">Владелец: 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3"/>
              <w:jc w:val="left"/>
              <w:spacing w:before="0" w:after="0"/>
              <w:widowControl/>
              <w:rPr>
                <w:lang w:eastAsia="zh-CN"/>
              </w:rPr>
            </w:pPr>
            <w:r>
              <w:rPr>
                <w:sz w:val="16"/>
                <w:szCs w:val="16"/>
                <w:lang w:val="ru-RU" w:eastAsia="zh-CN" w:bidi="ar-SA"/>
              </w:rPr>
              <w:t xml:space="preserve">Организация: </w:t>
            </w:r>
            <w:r>
              <w:fldChar w:fldCharType="begin"/>
            </w:r>
            <w:r>
              <w:rPr>
                <w:sz w:val="16"/>
                <w:szCs w:val="16"/>
                <w:lang w:val="ru-RU" w:eastAsia="zh-CN" w:bidi="ar-SA"/>
              </w:rPr>
              <w:instrText xml:space="preserve">Документ_ЭлПодпись_Организация_Участник</w:instrText>
            </w:r>
            <w:r>
              <w:rPr>
                <w:sz w:val="16"/>
                <w:szCs w:val="16"/>
                <w:lang w:val="ru-RU" w:eastAsia="zh-CN" w:bidi="ar-SA"/>
              </w:rPr>
              <w:fldChar w:fldCharType="separate"/>
            </w:r>
            <w:r>
              <w:rPr>
                <w:b/>
                <w:bCs/>
                <w:sz w:val="16"/>
                <w:szCs w:val="16"/>
                <w:lang w:val="ru-RU" w:eastAsia="zh-CN" w:bidi="ar-SA"/>
              </w:rPr>
              <w:t xml:space="preserve">.</w:t>
            </w:r>
            <w:r>
              <w:rPr>
                <w:sz w:val="16"/>
                <w:szCs w:val="16"/>
                <w:lang w:val="ru-RU" w:eastAsia="zh-CN" w:bidi="ar-SA"/>
              </w:rPr>
              <w:fldChar w:fldCharType="end"/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3"/>
              <w:jc w:val="left"/>
              <w:spacing w:before="0" w:after="0"/>
              <w:widowControl/>
              <w:rPr>
                <w:lang w:eastAsia="zh-CN"/>
              </w:rPr>
            </w:pPr>
            <w:r>
              <w:rPr>
                <w:sz w:val="16"/>
                <w:szCs w:val="16"/>
                <w:lang w:val="ru-RU" w:eastAsia="zh-CN" w:bidi="ar-SA"/>
              </w:rPr>
              <w:t xml:space="preserve">Подписано: 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7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3"/>
              <w:jc w:val="left"/>
              <w:spacing w:before="0" w:after="0"/>
              <w:widowControl/>
              <w:rPr>
                <w:lang w:eastAsia="zh-CN"/>
              </w:rPr>
            </w:pPr>
            <w:r>
              <w:rPr>
                <w:sz w:val="16"/>
                <w:szCs w:val="16"/>
                <w:lang w:val="ru-RU" w:eastAsia="zh-CN" w:bidi="ar-SA"/>
              </w:rPr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3"/>
              <w:jc w:val="left"/>
              <w:spacing w:before="0" w:after="0"/>
              <w:widowControl/>
              <w:rPr>
                <w:bCs/>
                <w:lang w:eastAsia="zh-CN"/>
              </w:rPr>
            </w:pPr>
            <w:r>
              <w:rPr>
                <w:b/>
                <w:sz w:val="16"/>
                <w:szCs w:val="16"/>
                <w:lang w:val="ru-RU" w:eastAsia="zh-CN" w:bidi="ar-SA"/>
              </w:rPr>
              <w:t xml:space="preserve">Данные сертификата</w:t>
            </w:r>
            <w:r>
              <w:rPr>
                <w:bCs/>
                <w:lang w:eastAsia="zh-CN"/>
              </w:rPr>
            </w:r>
            <w:r>
              <w:rPr>
                <w:bCs/>
                <w:lang w:eastAsia="zh-CN"/>
              </w:rPr>
            </w:r>
          </w:p>
        </w:tc>
      </w:tr>
      <w:tr>
        <w:tblPrEx/>
        <w:trPr>
          <w:trHeight w:val="17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3"/>
              <w:jc w:val="left"/>
              <w:spacing w:before="0" w:after="0"/>
              <w:widowControl/>
              <w:rPr>
                <w:lang w:eastAsia="zh-CN"/>
              </w:rPr>
            </w:pPr>
            <w:r>
              <w:rPr>
                <w:sz w:val="16"/>
                <w:szCs w:val="16"/>
                <w:lang w:val="ru-RU" w:eastAsia="zh-CN" w:bidi="ar-SA"/>
              </w:rPr>
              <w:t xml:space="preserve">Серийный номер: 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3"/>
              <w:jc w:val="left"/>
              <w:spacing w:before="0" w:after="0"/>
              <w:widowControl/>
              <w:rPr>
                <w:lang w:eastAsia="zh-CN"/>
              </w:rPr>
            </w:pPr>
            <w:r>
              <w:rPr>
                <w:sz w:val="16"/>
                <w:szCs w:val="16"/>
                <w:lang w:val="ru-RU" w:eastAsia="zh-CN" w:bidi="ar-SA"/>
              </w:rPr>
              <w:t xml:space="preserve">Срок действия: 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3"/>
              <w:jc w:val="left"/>
              <w:spacing w:before="0" w:after="0"/>
              <w:widowControl/>
              <w:rPr>
                <w:lang w:eastAsia="zh-CN"/>
              </w:rPr>
            </w:pPr>
            <w:r>
              <w:rPr>
                <w:sz w:val="16"/>
                <w:szCs w:val="16"/>
                <w:lang w:val="ru-RU" w:eastAsia="zh-CN" w:bidi="ar-SA"/>
              </w:rPr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</w:tbl>
    <w:p>
      <w:pPr>
        <w:pStyle w:val="753"/>
        <w:ind w:left="7655" w:firstLine="0"/>
        <w:jc w:val="both"/>
        <w:widowControl w:val="off"/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pStyle w:val="753"/>
      </w:pPr>
      <w:r>
        <w:rPr>
          <w:sz w:val="20"/>
          <w:szCs w:val="20"/>
        </w:rPr>
      </w:r>
      <w:r>
        <w:br w:type="page" w:clear="all"/>
      </w:r>
      <w:r>
        <w:rPr>
          <w:sz w:val="20"/>
          <w:szCs w:val="20"/>
        </w:rPr>
      </w:r>
      <w:r/>
    </w:p>
    <w:p>
      <w:pPr>
        <w:pStyle w:val="753"/>
        <w:ind w:left="7655" w:firstLine="0"/>
        <w:jc w:val="both"/>
        <w:widowControl w:val="off"/>
        <w:rPr>
          <w:sz w:val="22"/>
          <w:szCs w:val="22"/>
        </w:rPr>
      </w:pPr>
      <w:r>
        <w:rPr>
          <w:sz w:val="22"/>
          <w:szCs w:val="22"/>
        </w:rPr>
        <w:t xml:space="preserve">Приложение 2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53"/>
        <w:ind w:firstLine="851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ДОГОВОР АРЕНДЫ ЗЕМЕЛЬНОГО УЧАСТКА №._______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город Кострома                                                                                                                 «___» _________ 20__ года 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Управление имущественных и земельных отношений Администрации города Костромы</w:t>
      </w:r>
      <w:r>
        <w:rPr>
          <w:rFonts w:ascii="Times New Roman" w:hAnsi="Times New Roman" w:cs="Times New Roman"/>
          <w:sz w:val="22"/>
          <w:szCs w:val="22"/>
        </w:rPr>
        <w:t xml:space="preserve">, в лице _____________________________________, действующего на основании П</w:t>
      </w:r>
      <w:r>
        <w:rPr>
          <w:rFonts w:ascii="Times New Roman" w:hAnsi="Times New Roman" w:cs="Times New Roman"/>
          <w:sz w:val="22"/>
          <w:szCs w:val="22"/>
        </w:rPr>
        <w:t xml:space="preserve">оложения об Управлении, утвержденного постановлением Администрации города Костромы от 23 марта 2015 года № 604 и кадрового распоряжения Администрации города Костромы от ___________________________, именуемое в дальнейшем «Арендодатель», с одной стороны, и </w:t>
      </w:r>
      <w:r>
        <w:rPr>
          <w:rFonts w:ascii="Times New Roman" w:hAnsi="Times New Roman" w:cs="Times New Roman"/>
          <w:b/>
          <w:sz w:val="22"/>
          <w:szCs w:val="22"/>
        </w:rPr>
        <w:t xml:space="preserve">______________________________________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, в лице ____________________________, действующего на </w:t>
      </w:r>
      <w:r>
        <w:rPr>
          <w:rFonts w:ascii="Times New Roman" w:hAnsi="Times New Roman" w:cs="Times New Roman"/>
          <w:sz w:val="22"/>
          <w:szCs w:val="22"/>
        </w:rPr>
        <w:t xml:space="preserve">основании __________, именуемое в дальнейшем «Арендатор», совместно именуемые «Стороны», в соответствии со статьями 39.1, 39.6, 39.7, 39.8, 39.12, 39.13 Земельного кодекса Российской Федерации, заключили настоящий договор (далее – Договор) о нижеследующем: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1. Предмет договора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numPr>
          <w:ilvl w:val="1"/>
          <w:numId w:val="15"/>
        </w:numPr>
        <w:ind w:left="0" w:firstLine="709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Арендода</w:t>
      </w:r>
      <w:r>
        <w:rPr>
          <w:rFonts w:ascii="Times New Roman" w:hAnsi="Times New Roman" w:cs="Times New Roman"/>
          <w:sz w:val="22"/>
          <w:szCs w:val="22"/>
        </w:rPr>
        <w:t xml:space="preserve">тель обязуется предоставить Арендатору в аренду для строительства земельный участок из земель населенных пунктов, государственная собственность на которые не разграничена, с кадастровым номером ___________________ по адресу: Российская Федерация, Костромск</w:t>
      </w:r>
      <w:r>
        <w:rPr>
          <w:rFonts w:ascii="Times New Roman" w:hAnsi="Times New Roman" w:cs="Times New Roman"/>
          <w:sz w:val="22"/>
          <w:szCs w:val="22"/>
        </w:rPr>
        <w:t xml:space="preserve">ая область, город Кострома, ________________ (далее – Участок), вид разрешенного использования: ___________________, в границах, указанных в кадастровом паспорте Участка (дата и номер кадастрового паспорта), общей площадью __________ квадратных метра (ов).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numPr>
          <w:ilvl w:val="1"/>
          <w:numId w:val="15"/>
        </w:numPr>
        <w:ind w:left="0" w:firstLine="709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Участок имеет следующие ограничения (обременения):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709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709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709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1.3. Внесение изменений в Договор в части изменения вида разрешенного использования земельного участка не допускается.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2. Срок Договора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numPr>
          <w:ilvl w:val="1"/>
          <w:numId w:val="16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Договор заключен сроком на ______ с даты его подписания Сторонами. 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numPr>
          <w:ilvl w:val="1"/>
          <w:numId w:val="16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Договор, заключенный на срок один год и более, подлежит государственной регистрации в Управлении Федеральной службы государственной регистрации, кадастра и картографии по Костромской области.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numPr>
          <w:ilvl w:val="1"/>
          <w:numId w:val="16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Арендатор земельного участка не имеет преимущественного права на заключения на новый срок договора аренды такого земельного участка без проведения торгов.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3. Размер и условия внесения арендной платы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numPr>
          <w:ilvl w:val="1"/>
          <w:numId w:val="17"/>
        </w:numPr>
        <w:ind w:left="0" w:right="-5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За аренду земельного участка, указанного в пункте 1.1. Договора начисляется ежегодная арендная плата в сумме ______________ рублей.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numPr>
          <w:ilvl w:val="1"/>
          <w:numId w:val="17"/>
        </w:numPr>
        <w:ind w:left="0" w:firstLine="851"/>
        <w:jc w:val="both"/>
        <w:spacing w:after="0" w:afterAutospacing="0"/>
        <w:widowControl w:val="off"/>
        <w:tabs>
          <w:tab w:val="clear" w:pos="0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Арендатор перечисляет Арендодателю на расчетный сче</w:t>
      </w:r>
      <w:r>
        <w:rPr>
          <w:rFonts w:ascii="Times New Roman" w:hAnsi="Times New Roman" w:cs="Times New Roman"/>
          <w:sz w:val="22"/>
          <w:szCs w:val="22"/>
        </w:rPr>
        <w:t xml:space="preserve">т 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Управления Федерального казначейства по Костромской области (Управление имущественных и земельных отношений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 Администрации города Костромы),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ИНН 4401006568, КПП 440101001, единый казначейский счет 40102810945370000034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, 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казначейский счет 03100643000000014100, 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б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анк получателя ОТДЕЛЕНИЕ КОСТРОМА БАНКА РОССИИ//УФК ПО КОСТРОМСКОЙ ОБЛАСТИ г. Кострома, БИК 013469126, КБК 96611105012040000120, ОКТМО 34701000</w:t>
      </w:r>
      <w:r>
        <w:rPr>
          <w:rFonts w:ascii="Times New Roman" w:hAnsi="Times New Roman" w:cs="Times New Roman"/>
          <w:sz w:val="22"/>
          <w:szCs w:val="22"/>
        </w:rPr>
        <w:t xml:space="preserve">,</w:t>
      </w:r>
      <w:r>
        <w:rPr>
          <w:rFonts w:ascii="Times New Roman" w:hAnsi="Times New Roman" w:cs="Times New Roman"/>
          <w:sz w:val="22"/>
          <w:szCs w:val="22"/>
        </w:rPr>
        <w:t xml:space="preserve"> «За аренду земельного участка по адресу: ____________________</w:t>
      </w:r>
      <w:r>
        <w:rPr>
          <w:rFonts w:ascii="Times New Roman" w:hAnsi="Times New Roman" w:cs="Times New Roman"/>
          <w:sz w:val="22"/>
          <w:szCs w:val="22"/>
        </w:rPr>
        <w:t xml:space="preserve">_____________, договор № ______________________», арендную плату за за первый год аренды земельного участка, указанного в пункте 1.1 Договора, в сумме ______________________ (с учетом задатка) в течение 10 дней с даты подписания настоящего Д</w:t>
      </w:r>
      <w:r>
        <w:rPr>
          <w:rFonts w:ascii="Times New Roman" w:hAnsi="Times New Roman" w:cs="Times New Roman"/>
          <w:sz w:val="22"/>
          <w:szCs w:val="22"/>
        </w:rPr>
        <w:t xml:space="preserve">оговора. Днем оплаты арендной платы, указанной в Договоре, считается день зачисления денежных средств на расчетный счет Арендодателя. Перечисленный Арендодателю задаток за участие в аукционе на право заключения договора аренды земельного участка в размере </w:t>
      </w:r>
      <w:r>
        <w:rPr>
          <w:rFonts w:ascii="Times New Roman" w:hAnsi="Times New Roman" w:cs="Times New Roman"/>
          <w:b/>
          <w:sz w:val="22"/>
          <w:szCs w:val="22"/>
        </w:rPr>
        <w:t xml:space="preserve">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 зачисляется в счет арендной платы за земельный участок по настоящему Договору.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numPr>
          <w:ilvl w:val="1"/>
          <w:numId w:val="17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Сроки внесения арендной платы: до окончания срока аренды ежегодно в сумме _____________ рублей не позднее __________.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numPr>
          <w:ilvl w:val="1"/>
          <w:numId w:val="17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Размер арендной платы устанавливается на основании протокола о результатах торгов. В сумму первого платежа по Договору включается сумма задатка, уплаченная Покупателем по заявке.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numPr>
          <w:ilvl w:val="1"/>
          <w:numId w:val="17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 случае превышения платежа над начисленной суммой по арендной плате погашается задолженность по п</w:t>
      </w:r>
      <w:r>
        <w:rPr>
          <w:rFonts w:ascii="Times New Roman" w:hAnsi="Times New Roman" w:cs="Times New Roman"/>
          <w:sz w:val="22"/>
          <w:szCs w:val="22"/>
        </w:rPr>
        <w:t xml:space="preserve">еням за первый период (и последующий за ним), в котором образовалась задолженность. После погашения пеней, штрафов и всей суммы задолженности по арендной плате, оставшаяся сумма считается авансовым внесением арендной платы за ближайший оплачиваемый период.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numPr>
          <w:ilvl w:val="1"/>
          <w:numId w:val="17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Взаиморасчеты сторон по настоящему Договору фиксируются актом сверки, который составляется Арендодателем. В течение пяти рабочих дней со дня получения акта сверки, Арендатор обязан подписать его или представить мотивированный отказ.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Если в течение указанного срока Арендатор не подписывает акт сверки и не представляет мотивированный отказ от его подписания, акт сверки считается подписанным Арендатором.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numPr>
          <w:ilvl w:val="1"/>
          <w:numId w:val="17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 случае, одностороннего отказа, предусмотренного пунктом 6.2. настоящего Договора, </w:t>
      </w:r>
      <w:r>
        <w:rPr>
          <w:rFonts w:ascii="Times New Roman" w:hAnsi="Times New Roman" w:cs="Times New Roman"/>
          <w:sz w:val="22"/>
          <w:szCs w:val="22"/>
        </w:rPr>
        <w:t xml:space="preserve">досрочного расторжения Договора в случаях, предусмотренных пунктами 6.2.1.-6.2.6. настоящего Договора, арендная плата, </w:t>
      </w:r>
      <w:r>
        <w:rPr>
          <w:rFonts w:ascii="Times New Roman" w:hAnsi="Times New Roman" w:cs="Times New Roman"/>
          <w:sz w:val="22"/>
          <w:szCs w:val="22"/>
        </w:rPr>
        <w:t xml:space="preserve">предусмотренная пунктом 3.1. настоящего Договора, возврату Арендатору не подлежит.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4. Права и обязанности Сторон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4.1. Арендодатель имеет право: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4.1.1. На односторонний отказ от исполнения Договора во внесудебном порядке, в случаях, предусмотренных пунктом 6.2. Договора;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4.1.2. На досрочное расторжение Договора в судебном порядке, в случаях, предусмотренных пунктом 6.4. Договора;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4.1.3. На беспрепятственный доступ на территорию арендуемого земельного участка с целью его осмотра на предмет соблюдения условий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4.1.4. На возмещение убытков, причиненных ухудшением качества Участка и экологической обстановки в результате хозяйственной деятельности Арендаторов, а также по иным основаниям, предусмотренным законодательством Российской Федерации.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 Арендодатель обязан: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4.2.1. Выполнять в полном объеме все условия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4.2.2. Передать Арендатору участок по акту приема – передачи.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4.2.3. Письменно и своевременно уведомить Арендатора в случае изменения номеров счетов для перечисления арендной платы, указанных в пункте 3.2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4.2.4. Письменно сообщить Арендатору не позднее, чем за 14 (четырнадцать) дней о необходимости освобождения Участка при досрочном расторжении Договора или одностороннем отказе от исполнения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4.2.5. Предоставлять расчет арендной платы Арендатору по его требованию.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4.3. Арендатор имеет право: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4.3.1. Использовать Участок на условиях, установленных Договором.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 Арендатор обязан: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4.4.1. Выполнять в полном объеме все условия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4.4.2. Использовать Участок в соответствии с целевым назначением и разрешенным использованием.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4.4.3. Без получения счета и в соответствии с условиями договора уплачивать в размере и на условиях, установленных Договором, арендную плату.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4.4.4.</w:t>
        <w:tab/>
        <w:t xml:space="preserve">Обеспечивать Арендодателю и его представителям, пр</w:t>
      </w:r>
      <w:r>
        <w:rPr>
          <w:rFonts w:ascii="Times New Roman" w:hAnsi="Times New Roman" w:cs="Times New Roman"/>
          <w:sz w:val="22"/>
          <w:szCs w:val="22"/>
        </w:rPr>
        <w:t xml:space="preserve">едставителям органов государственного и муниципального земельного контроля доступ на Участок по их требованию и выполнять все предписания указанных должностных лиц, соответствующим службам доступ для эксплуатации, ремонта и обслуживания линий коммуникаций.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4.4.5. Письменно сообщить Арендод</w:t>
      </w:r>
      <w:r>
        <w:rPr>
          <w:rFonts w:ascii="Times New Roman" w:hAnsi="Times New Roman" w:cs="Times New Roman"/>
          <w:sz w:val="22"/>
          <w:szCs w:val="22"/>
        </w:rPr>
        <w:t xml:space="preserve">ателю не позднее, чем за 1 (один) месяц о предстоящем освобождении Участка в связи с окончанием срока действия Договора. Передача земельного участка по акту приема-передачи осуществляется Арендатором в день, следующий за днем прекращения действия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4.4.6. Не допускать действий, приводящих к ухудшению экологической обстановки на арендуемом земельном участке и прилегающих к нему территориях. 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4.4.7. За свой счет выполнять работы по благоустройству территории, поддержанию ее в надлежащем санитарном состоянии в соответствии с законодательством Костромской области и нормативными правовыми актами органов местного самоуправления.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4.4.8. В 10-дневный срок направить Арендодателю письменное уведомление об изменении названия, юридического адреса, электронной почты, расчетного счета или прекращения деятельности п</w:t>
      </w:r>
      <w:r>
        <w:rPr>
          <w:rFonts w:ascii="Times New Roman" w:hAnsi="Times New Roman" w:cs="Times New Roman"/>
          <w:sz w:val="22"/>
          <w:szCs w:val="22"/>
        </w:rPr>
        <w:t xml:space="preserve">редприятия, учреждения или организации в случае, если Арендатор – юридическое лицо; об изменении фамилии, имени, отчества, адреса места жительства, номера телефона, номера факса и электронной почты (если имеется) в случае, если Арендатор – физическое лицо.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4.4.9. Соблюдать санитарные, противопожарные нормы и требования, действующие правила благоустройства территории города Костромы, а так же иные требования, установленные действующим законодательством.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4.4.10. В случае если Участок находится в зоне археологического слоя, соблюдать особые условия использования земельного участка и режим хозяйственной деятельности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4.4.11. Не передавать арендованный земельный участок в субаренду, а также права и обязанности по договору третьим лицам, не осуществлять мероприятий по его разделу, объединению, перераспределению, выделу.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4.4.12. Возвратить Участок в надлежащем состоянии по окончанию действия Договора, при досрочном расторжении Договора, одностороннем отказе от исполнения Договора в день, следующий за днем прекращения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4.4.13. Оформить разрешение на строительство и проведение земляных работ при прокладке инженерных сетей в Администрации города Костромы.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4.5. Арендодатель и Арендатор имеют иные права и несут иные обязанности, установленные законодательством Российской Федерации.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5. Ответственность Сторон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5.1. Ответственность за состояние Участка наступает у Арендатора с момента подписания Сторонами акта приема-передачи и прекращается с момента подписания акта о его передаче Арендодателю.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  <w14:ligatures w14:val="none"/>
        </w:rPr>
      </w:pPr>
      <w:r>
        <w:rPr>
          <w:rFonts w:ascii="Times New Roman" w:hAnsi="Times New Roman" w:cs="Times New Roman"/>
          <w:sz w:val="22"/>
          <w:szCs w:val="22"/>
        </w:rPr>
        <w:t xml:space="preserve">5.2. За нарушение услов</w:t>
      </w:r>
      <w:r>
        <w:rPr>
          <w:rFonts w:ascii="Times New Roman" w:hAnsi="Times New Roman" w:cs="Times New Roman"/>
          <w:sz w:val="22"/>
          <w:szCs w:val="22"/>
        </w:rPr>
        <w:t xml:space="preserve">ий Договора Стороны несут ответственность, предусмотренную законодательством Российской Федерации.</w:t>
      </w:r>
      <w:r>
        <w:rPr>
          <w:rFonts w:ascii="Times New Roman" w:hAnsi="Times New Roman" w:cs="Times New Roman"/>
          <w:sz w:val="22"/>
          <w:szCs w:val="22"/>
          <w14:ligatures w14:val="none"/>
        </w:rPr>
      </w:r>
      <w:r>
        <w:rPr>
          <w:rFonts w:ascii="Times New Roman" w:hAnsi="Times New Roman" w:cs="Times New Roman"/>
          <w:sz w:val="22"/>
          <w:szCs w:val="22"/>
          <w14:ligatures w14:val="none"/>
        </w:rPr>
      </w:r>
    </w:p>
    <w:p>
      <w:pPr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  <w14:ligatures w14:val="none"/>
        </w:rPr>
      </w:pPr>
      <w:r>
        <w:rPr>
          <w:rFonts w:ascii="Times New Roman" w:hAnsi="Times New Roman" w:cs="Times New Roman"/>
          <w:sz w:val="22"/>
          <w:szCs w:val="22"/>
        </w:rPr>
        <w:t xml:space="preserve">5.3. 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За нарушение срока внесения арендной платы по Договору Арендатор выплачивает Арендодателю пени из расчета 1/150 ставки рефинансирования Центрального Банка Российской Федерации от размера невнесенной арендной платы за каждый календарный день просрочки.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Пени начисляются со дня образования задолженности по арендной плате и перечисляются на следующие реквизиты: получатель УФК по Костромской области (Управление имущественных и земельных отношений Администрации города Костромы), ИНН 4401006568, КПП 440101001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, единый казначейский счет 40102810945370000034, казначейский счет 03100643000000014100, банк получателя ОТДЕЛЕНИЕ КОСТРОМА БАНКА РОССИИ//УФК ПО КОСТРОМСКОЙ ОБЛАСТИ г. Кострома, БИК 013469126, КБК 96611607090040000140, ОКТМО 34701000.</w:t>
      </w:r>
      <w:r>
        <w:rPr>
          <w:rFonts w:ascii="Times New Roman" w:hAnsi="Times New Roman" w:cs="Times New Roman"/>
          <w:sz w:val="22"/>
          <w:szCs w:val="22"/>
          <w14:ligatures w14:val="none"/>
        </w:rPr>
      </w:r>
      <w:r>
        <w:rPr>
          <w:rFonts w:ascii="Times New Roman" w:hAnsi="Times New Roman" w:cs="Times New Roman"/>
          <w:sz w:val="22"/>
          <w:szCs w:val="22"/>
          <w14:ligatures w14:val="none"/>
        </w:rPr>
      </w:r>
    </w:p>
    <w:p>
      <w:pPr>
        <w:pStyle w:val="753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5.4. В случае если Арендатор в срок</w:t>
      </w:r>
      <w:r>
        <w:rPr>
          <w:rFonts w:ascii="Times New Roman" w:hAnsi="Times New Roman" w:cs="Times New Roman"/>
          <w:sz w:val="22"/>
          <w:szCs w:val="22"/>
        </w:rPr>
        <w:t xml:space="preserve">, установленный в пункте 4.4.12 Договора, не возвратил Участок, либо возвратил его несвоевременно, уплачивается штраф в размере 1/12 ежегодной арендной платы, при этом действие договора не считается возобновленным на тех же условиях на неопределенный срок.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5.5. В случае невыполнения действий, указанных в пунктах 4.4.2, 4.4.6, 4.4.8, 4.4.11, 4.4.13 Договора, Арендатор уплачивает штраф в размере 1/12 ежегодной арендной платы.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5.6.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720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6. Изменение, расторжение и прекращение Договора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6.1. Все изменения и (или) дополнения к Договору оформляются Сторонами в письменной форме.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 Арендодатель имеет право на односторонний отказ от исполнения Договора, если такой Договор заключен на срок не более чем пять лет, в случаях: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6.2.1. при использовании земельного участка не в соответствии с его целевым назначением и разрешенным использованием, предусмотренным в пункте 1.1 Договора;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6.2.2. при существенном ухудшении состояния земельного участка;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6.2.3. невнесения и (или) неполного внесения Арендатором арендной платы по истечении установленного Договором срока платежа;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6.2.4. при изъятии земельного участка для государственных или муниципальных нужд в соответствии с правилами, установленными действующим законодательством Российской Федерации;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6.2.5. при использовании земельного участка с иными существенными нарушениями условий Договора;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6.2.6. в иных случаях, предусмотренных действующим законодательством Российской Федерации.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6.3. В случае одностороннего отказа </w:t>
      </w:r>
      <w:r>
        <w:rPr>
          <w:rFonts w:ascii="Times New Roman" w:hAnsi="Times New Roman" w:cs="Times New Roman"/>
          <w:sz w:val="22"/>
          <w:szCs w:val="22"/>
        </w:rPr>
        <w:t xml:space="preserve">от исполнения Договора, Договор считается расторгнутым по истечении 14 (четырнадцати) дней с момента получения Арендатором уведомления об одностороннем отказе от исполнения Договора. Уведомление направляется Арендодателем заказным письмом с уведомлением и </w:t>
      </w:r>
      <w:r>
        <w:rPr>
          <w:rFonts w:ascii="Times New Roman" w:hAnsi="Times New Roman" w:cs="Times New Roman"/>
          <w:sz w:val="22"/>
          <w:szCs w:val="22"/>
        </w:rPr>
        <w:t xml:space="preserve">считается полученным в день его получения Арендатором либо в день извещения организацией почтовой связи об отсутствии Арендатора по всем адресам, указанным в Договоре. В этом случае заключение дополнительного соглашения о расторжении Договора не требуется.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Односторонний отказ от исполнения Договора возможен способом факсимильной связи, либо путем направления уведомления на электронную почту, если Арендатором в Договоре указаны соответствующие реквизиты.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6.4. Если иное не предусмотрено федеральным законодательством, досрочное расторжение Договора,</w:t>
      </w:r>
      <w:r>
        <w:rPr>
          <w:rFonts w:ascii="Times New Roman" w:hAnsi="Times New Roman" w:cs="Times New Roman"/>
          <w:sz w:val="22"/>
          <w:szCs w:val="22"/>
        </w:rPr>
        <w:t xml:space="preserve"> заключенного на срок более чем пять лет по требованию Арендодателя возможно только на основании решения суда в случаях, предусмотренных пунктами 6.2.1 – 6.2.6 Договора. Условия об одностороннем отказе от исполнения Договора в данном случае не применяются.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6.5. Односторонний отказ от исполнения Договора, предусмотренный пу</w:t>
      </w:r>
      <w:r>
        <w:rPr>
          <w:rFonts w:ascii="Times New Roman" w:hAnsi="Times New Roman" w:cs="Times New Roman"/>
          <w:sz w:val="22"/>
          <w:szCs w:val="22"/>
        </w:rPr>
        <w:t xml:space="preserve">нктом 6.2 Договора, допускается только в том случае, если Арендатор использует Участок в целях осуществления предпринимательской деятельности. В иных случаях допускается только досрочное расторжение Договора в порядке, предусмотренном пунктом 6.4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6.6. Договор считается прекращенным по истечении срока, на который он заключен.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6.7. При прекращени</w:t>
      </w:r>
      <w:r>
        <w:rPr>
          <w:rFonts w:ascii="Times New Roman" w:hAnsi="Times New Roman" w:cs="Times New Roman"/>
          <w:sz w:val="22"/>
          <w:szCs w:val="22"/>
        </w:rPr>
        <w:t xml:space="preserve">и Договора, Арендатор обязан вернуть Арендодателю Участок в надлежащем состоянии. В случае если Арендатор уклонился от возвращения Участка, Участок считается возвращенным Арендодателю со дня составления Арендодателем акта об одностороннем возврате Участка.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7. Рассмотрение и урегулирование споров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7.1. Все споры между Сторонами, возникающие по Договору, разрешаются в соответствии с законодательством Российской Федерации в судах Костромской области по месту нахождения Арендодателя.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8. Особые условия договора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after="0" w:line="288" w:lineRule="atLeast"/>
        <w:rPr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2"/>
          <w:szCs w:val="22"/>
        </w:rPr>
        <w:t xml:space="preserve">8.1. Насто</w:t>
      </w:r>
      <w:r>
        <w:rPr>
          <w:rFonts w:ascii="Times New Roman" w:hAnsi="Times New Roman" w:cs="Times New Roman"/>
          <w:sz w:val="22"/>
          <w:szCs w:val="22"/>
        </w:rPr>
        <w:t xml:space="preserve">ящий Договор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заключается в электронной форме и подписывается усиленной квалифицированной электронной подписью сторон такого договора.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  <w:t xml:space="preserve">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9. Реквизиты Сторон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Арендодатель: Управление имущественных и земельных отношений Администрации города Костромы, 156005, город Кострома, площадь Конституции, дом 2, ИНН 4401006568, ОГРН: 1034408610411, КПП 440101001, номер телефона: +7 (4942) 42-68-41.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Арендатор:  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10. Подписи Сторон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tbl>
      <w:tblPr>
        <w:tblW w:w="9828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5327"/>
        <w:gridCol w:w="4500"/>
      </w:tblGrid>
      <w:tr>
        <w:tblPrEx/>
        <w:trPr/>
        <w:tc>
          <w:tcPr>
            <w:tcW w:w="5327" w:type="dxa"/>
            <w:textDirection w:val="lrTb"/>
            <w:noWrap w:val="false"/>
          </w:tcPr>
          <w:p>
            <w:pPr>
              <w:pStyle w:val="753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Арендодатель: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753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4500" w:type="dxa"/>
            <w:textDirection w:val="lrTb"/>
            <w:noWrap w:val="false"/>
          </w:tcPr>
          <w:p>
            <w:pPr>
              <w:pStyle w:val="753"/>
              <w:ind w:firstLine="65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Арендатор: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5327" w:type="dxa"/>
            <w:textDirection w:val="lrTb"/>
            <w:noWrap w:val="false"/>
          </w:tcPr>
          <w:p>
            <w:pPr>
              <w:pStyle w:val="753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имущественных и земельных отношений Администрации города Костромы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4500" w:type="dxa"/>
            <w:textDirection w:val="lrTb"/>
            <w:noWrap w:val="false"/>
          </w:tcPr>
          <w:p>
            <w:pPr>
              <w:pStyle w:val="753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5327" w:type="dxa"/>
            <w:textDirection w:val="lrTb"/>
            <w:noWrap w:val="false"/>
          </w:tcPr>
          <w:p>
            <w:pPr>
              <w:pStyle w:val="753"/>
              <w:ind w:firstLine="851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753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Управления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753"/>
              <w:ind w:firstLine="180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4500" w:type="dxa"/>
            <w:textDirection w:val="lrTb"/>
            <w:noWrap w:val="false"/>
          </w:tcPr>
          <w:p>
            <w:pPr>
              <w:pStyle w:val="753"/>
              <w:ind w:firstLine="60"/>
              <w:jc w:val="center"/>
              <w:spacing w:after="0" w:afterAutospacing="0"/>
              <w:widowControl w:val="off"/>
              <w:tabs>
                <w:tab w:val="clear" w:pos="708" w:leader="none"/>
                <w:tab w:val="left" w:pos="1832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pStyle w:val="753"/>
        <w:jc w:val="both"/>
        <w:spacing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sectPr>
      <w:footnotePr>
        <w:numFmt w:val="decimal"/>
      </w:footnotePr>
      <w:endnotePr/>
      <w:type w:val="nextPage"/>
      <w:pgSz w:w="11906" w:h="16838" w:orient="portrait"/>
      <w:pgMar w:top="1134" w:right="707" w:bottom="96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Verdana">
    <w:panose1 w:val="020B0604030504040204"/>
  </w:font>
  <w:font w:name="Calibri">
    <w:panose1 w:val="020F0502020204030204"/>
  </w:font>
  <w:font w:name="Mangal">
    <w:panose1 w:val="02040503050203030202"/>
  </w:font>
  <w:font w:name="a_Timer">
    <w:panose1 w:val="02000603000000000000"/>
  </w:font>
  <w:font w:name="Liberation Sans">
    <w:panose1 w:val="020B0604020202020204"/>
  </w:font>
  <w:font w:name="Segoe UI">
    <w:panose1 w:val="020B0502040204020203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rPr>
          <w:sz w:val="12"/>
        </w:rPr>
      </w:pPr>
      <w:r>
        <w:separator/>
      </w:r>
      <w:r>
        <w:rPr>
          <w:sz w:val="12"/>
        </w:rPr>
      </w:r>
      <w:r>
        <w:rPr>
          <w:sz w:val="12"/>
        </w:rPr>
      </w:r>
    </w:p>
  </w:footnote>
  <w:footnote w:type="continuationSeparator" w:id="0">
    <w:p>
      <w:pPr>
        <w:rPr>
          <w:sz w:val="12"/>
        </w:rPr>
      </w:pPr>
      <w:r>
        <w:continuationSeparator/>
      </w:r>
      <w:r>
        <w:rPr>
          <w:sz w:val="12"/>
        </w:rPr>
      </w:r>
      <w:r>
        <w:rPr>
          <w:sz w:val="12"/>
        </w:rPr>
      </w:r>
    </w:p>
  </w:footnote>
  <w:footnote w:id="2">
    <w:p>
      <w:pPr>
        <w:pStyle w:val="824"/>
        <w:contextualSpacing/>
        <w:jc w:val="both"/>
        <w:spacing w:before="0" w:after="0" w:line="216" w:lineRule="auto"/>
      </w:pPr>
      <w:r>
        <w:rPr>
          <w:rStyle w:val="789"/>
        </w:rPr>
        <w:footnoteRef/>
      </w:r>
      <w:r>
        <w:t xml:space="preserve"> </w:t>
      </w:r>
      <w:r>
        <w:rPr>
          <w:sz w:val="18"/>
          <w:szCs w:val="18"/>
        </w:rPr>
        <w:t xml:space="preserve">Заполняется при подаче Заявки юридическим лицом, или лицом действующим на основании доверенности.</w:t>
      </w:r>
      <w:r/>
    </w:p>
  </w:footnote>
  <w:footnote w:id="3">
    <w:p>
      <w:pPr>
        <w:pStyle w:val="753"/>
        <w:jc w:val="both"/>
      </w:pPr>
      <w:r>
        <w:rPr>
          <w:rStyle w:val="789"/>
        </w:rPr>
        <w:footnoteRef/>
      </w:r>
      <w:r>
        <w:t xml:space="preserve"> </w:t>
      </w:r>
      <w:r>
        <w:rPr>
          <w:sz w:val="18"/>
          <w:szCs w:val="18"/>
        </w:rPr>
        <w:t xml:space="preserve">Заполняется при подаче Заявки лицом, действующим по доверенности.</w:t>
      </w:r>
      <w:r/>
    </w:p>
  </w:footnote>
  <w:footnote w:id="4">
    <w:p>
      <w:pPr>
        <w:pStyle w:val="824"/>
        <w:contextualSpacing/>
        <w:jc w:val="both"/>
        <w:spacing w:before="0" w:after="0" w:line="216" w:lineRule="auto"/>
      </w:pPr>
      <w:r>
        <w:rPr>
          <w:rStyle w:val="789"/>
        </w:rPr>
        <w:footnoteRef/>
      </w:r>
      <w:r>
        <w:t xml:space="preserve"> </w:t>
      </w:r>
      <w:r>
        <w:rPr>
          <w:sz w:val="18"/>
          <w:szCs w:val="18"/>
        </w:rPr>
        <w:t xml:space="preserve">Ознакомлен с Регламентом Оператора электронной площадки при регистрации (аккредитации) на электронной площадке</w:t>
      </w:r>
      <w:r>
        <w:rPr>
          <w:sz w:val="18"/>
          <w:szCs w:val="18"/>
        </w:rPr>
      </w:r>
      <w:r/>
    </w:p>
  </w:footnote>
  <w:footnote w:id="5">
    <w:p>
      <w:pPr>
        <w:pStyle w:val="824"/>
        <w:contextualSpacing/>
        <w:jc w:val="both"/>
        <w:spacing w:before="0" w:after="0" w:line="216" w:lineRule="auto"/>
      </w:pPr>
      <w:r>
        <w:rPr>
          <w:rStyle w:val="789"/>
        </w:rPr>
        <w:footnoteRef/>
      </w:r>
      <w:r>
        <w:t xml:space="preserve"> </w:t>
      </w:r>
      <w:r>
        <w:rPr>
          <w:sz w:val="18"/>
          <w:szCs w:val="18"/>
        </w:rPr>
        <w:t xml:space="preserve"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</w:t>
      </w:r>
      <w:r>
        <w:rPr>
          <w:sz w:val="18"/>
          <w:szCs w:val="18"/>
        </w:rPr>
        <w:t xml:space="preserve">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 209-ФЗ «О развитии малого и среднего предпринимательства в Российской Федерации».</w:t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246" w:hanging="1395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246" w:hanging="1395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246" w:hanging="1395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46" w:hanging="1395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246" w:hanging="1395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291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291" w:hanging="144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651" w:hanging="1800"/>
        <w:tabs>
          <w:tab w:val="num" w:pos="0" w:leader="none"/>
        </w:tabs>
      </w:p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  <w:tabs>
          <w:tab w:val="num" w:pos="0" w:leader="none"/>
        </w:tabs>
      </w:p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space"/>
      <w:lvlText w:val="%1.%2."/>
      <w:lvlJc w:val="left"/>
      <w:pPr>
        <w:ind w:left="357" w:firstLine="3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57" w:firstLine="363"/>
        <w:tabs>
          <w:tab w:val="num" w:pos="357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16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32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</w:lvl>
  </w:abstractNum>
  <w:abstractNum w:abstractNumId="4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isLgl w:val="false"/>
      <w:suff w:val="space"/>
      <w:lvlText w:val="%1.%2."/>
      <w:lvlJc w:val="left"/>
      <w:pPr>
        <w:ind w:left="357" w:firstLine="3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57" w:firstLine="363"/>
        <w:tabs>
          <w:tab w:val="num" w:pos="357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16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32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246" w:hanging="1395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246" w:hanging="1395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246" w:hanging="1395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46" w:hanging="1395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246" w:hanging="1395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291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291" w:hanging="144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651" w:hanging="1800"/>
        <w:tabs>
          <w:tab w:val="num" w:pos="0" w:leader="none"/>
        </w:tabs>
      </w:pPr>
    </w:lvl>
  </w:abstractNum>
  <w:abstractNum w:abstractNumId="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  <w:tabs>
          <w:tab w:val="num" w:pos="0" w:leader="none"/>
        </w:tabs>
      </w:pPr>
    </w:lvl>
  </w:abstractNum>
  <w:abstractNum w:abstractNumId="1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space"/>
      <w:lvlText w:val="%1.%2."/>
      <w:lvlJc w:val="left"/>
      <w:pPr>
        <w:ind w:left="357" w:firstLine="3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57" w:firstLine="363"/>
        <w:tabs>
          <w:tab w:val="num" w:pos="357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16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32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</w:lvl>
  </w:abstractNum>
  <w:abstractNum w:abstractNumId="1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1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246" w:hanging="1395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246" w:hanging="1395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246" w:hanging="1395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46" w:hanging="1395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246" w:hanging="1395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291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291" w:hanging="144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651" w:hanging="1800"/>
        <w:tabs>
          <w:tab w:val="num" w:pos="0" w:leader="none"/>
        </w:tabs>
      </w:pPr>
    </w:lvl>
  </w:abstractNum>
  <w:abstractNum w:abstractNumId="1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  <w:tabs>
          <w:tab w:val="num" w:pos="0" w:leader="none"/>
        </w:tabs>
      </w:pPr>
    </w:lvl>
  </w:abstractNum>
  <w:abstractNum w:abstractNumId="1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8">
    <w:name w:val="Heading 1 Char"/>
    <w:basedOn w:val="763"/>
    <w:link w:val="754"/>
    <w:uiPriority w:val="9"/>
    <w:rPr>
      <w:rFonts w:ascii="Arial" w:hAnsi="Arial" w:eastAsia="Arial" w:cs="Arial"/>
      <w:sz w:val="40"/>
      <w:szCs w:val="40"/>
    </w:rPr>
  </w:style>
  <w:style w:type="character" w:styleId="739">
    <w:name w:val="Heading 2 Char"/>
    <w:basedOn w:val="763"/>
    <w:link w:val="755"/>
    <w:uiPriority w:val="9"/>
    <w:rPr>
      <w:rFonts w:ascii="Arial" w:hAnsi="Arial" w:eastAsia="Arial" w:cs="Arial"/>
      <w:sz w:val="34"/>
    </w:rPr>
  </w:style>
  <w:style w:type="character" w:styleId="740">
    <w:name w:val="Heading 3 Char"/>
    <w:basedOn w:val="763"/>
    <w:link w:val="756"/>
    <w:uiPriority w:val="9"/>
    <w:rPr>
      <w:rFonts w:ascii="Arial" w:hAnsi="Arial" w:eastAsia="Arial" w:cs="Arial"/>
      <w:sz w:val="30"/>
      <w:szCs w:val="30"/>
    </w:rPr>
  </w:style>
  <w:style w:type="character" w:styleId="741">
    <w:name w:val="Heading 4 Char"/>
    <w:basedOn w:val="763"/>
    <w:link w:val="757"/>
    <w:uiPriority w:val="9"/>
    <w:rPr>
      <w:rFonts w:ascii="Arial" w:hAnsi="Arial" w:eastAsia="Arial" w:cs="Arial"/>
      <w:b/>
      <w:bCs/>
      <w:sz w:val="26"/>
      <w:szCs w:val="26"/>
    </w:rPr>
  </w:style>
  <w:style w:type="character" w:styleId="742">
    <w:name w:val="Heading 5 Char"/>
    <w:basedOn w:val="763"/>
    <w:link w:val="758"/>
    <w:uiPriority w:val="9"/>
    <w:rPr>
      <w:rFonts w:ascii="Arial" w:hAnsi="Arial" w:eastAsia="Arial" w:cs="Arial"/>
      <w:b/>
      <w:bCs/>
      <w:sz w:val="24"/>
      <w:szCs w:val="24"/>
    </w:rPr>
  </w:style>
  <w:style w:type="character" w:styleId="743">
    <w:name w:val="Heading 6 Char"/>
    <w:basedOn w:val="763"/>
    <w:link w:val="759"/>
    <w:uiPriority w:val="9"/>
    <w:rPr>
      <w:rFonts w:ascii="Arial" w:hAnsi="Arial" w:eastAsia="Arial" w:cs="Arial"/>
      <w:b/>
      <w:bCs/>
      <w:sz w:val="22"/>
      <w:szCs w:val="22"/>
    </w:rPr>
  </w:style>
  <w:style w:type="character" w:styleId="744">
    <w:name w:val="Heading 7 Char"/>
    <w:basedOn w:val="763"/>
    <w:link w:val="7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5">
    <w:name w:val="Heading 8 Char"/>
    <w:basedOn w:val="763"/>
    <w:link w:val="761"/>
    <w:uiPriority w:val="9"/>
    <w:rPr>
      <w:rFonts w:ascii="Arial" w:hAnsi="Arial" w:eastAsia="Arial" w:cs="Arial"/>
      <w:i/>
      <w:iCs/>
      <w:sz w:val="22"/>
      <w:szCs w:val="22"/>
    </w:rPr>
  </w:style>
  <w:style w:type="character" w:styleId="746">
    <w:name w:val="Heading 9 Char"/>
    <w:basedOn w:val="763"/>
    <w:link w:val="762"/>
    <w:uiPriority w:val="9"/>
    <w:rPr>
      <w:rFonts w:ascii="Arial" w:hAnsi="Arial" w:eastAsia="Arial" w:cs="Arial"/>
      <w:i/>
      <w:iCs/>
      <w:sz w:val="21"/>
      <w:szCs w:val="21"/>
    </w:rPr>
  </w:style>
  <w:style w:type="character" w:styleId="747">
    <w:name w:val="Title Char"/>
    <w:basedOn w:val="763"/>
    <w:link w:val="798"/>
    <w:uiPriority w:val="10"/>
    <w:rPr>
      <w:sz w:val="48"/>
      <w:szCs w:val="48"/>
    </w:rPr>
  </w:style>
  <w:style w:type="character" w:styleId="748">
    <w:name w:val="Subtitle Char"/>
    <w:basedOn w:val="763"/>
    <w:link w:val="799"/>
    <w:uiPriority w:val="11"/>
    <w:rPr>
      <w:sz w:val="24"/>
      <w:szCs w:val="24"/>
    </w:rPr>
  </w:style>
  <w:style w:type="character" w:styleId="749">
    <w:name w:val="Quote Char"/>
    <w:link w:val="800"/>
    <w:uiPriority w:val="29"/>
    <w:rPr>
      <w:i/>
    </w:rPr>
  </w:style>
  <w:style w:type="character" w:styleId="750">
    <w:name w:val="Intense Quote Char"/>
    <w:link w:val="801"/>
    <w:uiPriority w:val="30"/>
    <w:rPr>
      <w:i/>
    </w:rPr>
  </w:style>
  <w:style w:type="character" w:styleId="751">
    <w:name w:val="Endnote Text Char"/>
    <w:link w:val="803"/>
    <w:uiPriority w:val="99"/>
    <w:rPr>
      <w:sz w:val="20"/>
    </w:rPr>
  </w:style>
  <w:style w:type="paragraph" w:styleId="752">
    <w:name w:val="toc 2"/>
    <w:basedOn w:val="753"/>
    <w:next w:val="753"/>
    <w:uiPriority w:val="39"/>
    <w:unhideWhenUsed/>
    <w:pPr>
      <w:ind w:left="283" w:right="0" w:firstLine="0"/>
      <w:spacing w:after="57"/>
    </w:pPr>
  </w:style>
  <w:style w:type="paragraph" w:styleId="753" w:default="1">
    <w:name w:val="Normal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754">
    <w:name w:val="Heading 1"/>
    <w:basedOn w:val="753"/>
    <w:next w:val="753"/>
    <w:link w:val="82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55">
    <w:name w:val="Heading 2"/>
    <w:basedOn w:val="753"/>
    <w:next w:val="753"/>
    <w:link w:val="76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56">
    <w:name w:val="Heading 3"/>
    <w:basedOn w:val="753"/>
    <w:next w:val="753"/>
    <w:link w:val="83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57">
    <w:name w:val="Heading 4"/>
    <w:basedOn w:val="753"/>
    <w:next w:val="753"/>
    <w:link w:val="83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58">
    <w:name w:val="Heading 5"/>
    <w:basedOn w:val="753"/>
    <w:next w:val="753"/>
    <w:link w:val="83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59">
    <w:name w:val="Heading 6"/>
    <w:basedOn w:val="753"/>
    <w:next w:val="753"/>
    <w:link w:val="7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60">
    <w:name w:val="Heading 7"/>
    <w:basedOn w:val="753"/>
    <w:next w:val="753"/>
    <w:link w:val="7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61">
    <w:name w:val="Heading 8"/>
    <w:basedOn w:val="753"/>
    <w:next w:val="753"/>
    <w:link w:val="76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62">
    <w:name w:val="Heading 9"/>
    <w:basedOn w:val="753"/>
    <w:next w:val="753"/>
    <w:link w:val="76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3" w:default="1">
    <w:name w:val="Default Paragraph Font"/>
    <w:uiPriority w:val="1"/>
    <w:semiHidden/>
    <w:unhideWhenUsed/>
    <w:qFormat/>
  </w:style>
  <w:style w:type="character" w:styleId="764" w:customStyle="1">
    <w:name w:val="Заголовок 2 Знак"/>
    <w:basedOn w:val="763"/>
    <w:uiPriority w:val="9"/>
    <w:qFormat/>
    <w:rPr>
      <w:rFonts w:ascii="Arial" w:hAnsi="Arial" w:eastAsia="Arial" w:cs="Arial"/>
      <w:sz w:val="34"/>
    </w:rPr>
  </w:style>
  <w:style w:type="character" w:styleId="765" w:customStyle="1">
    <w:name w:val="Заголовок 6 Знак"/>
    <w:basedOn w:val="763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66" w:customStyle="1">
    <w:name w:val="Заголовок 7 Знак"/>
    <w:basedOn w:val="763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67" w:customStyle="1">
    <w:name w:val="Заголовок 8 Знак"/>
    <w:basedOn w:val="763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68" w:customStyle="1">
    <w:name w:val="Заголовок 9 Знак"/>
    <w:basedOn w:val="763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69" w:customStyle="1">
    <w:name w:val="Заголовок Знак"/>
    <w:basedOn w:val="763"/>
    <w:uiPriority w:val="10"/>
    <w:qFormat/>
    <w:rPr>
      <w:sz w:val="48"/>
      <w:szCs w:val="48"/>
    </w:rPr>
  </w:style>
  <w:style w:type="character" w:styleId="770" w:customStyle="1">
    <w:name w:val="Подзаголовок Знак"/>
    <w:basedOn w:val="763"/>
    <w:uiPriority w:val="11"/>
    <w:qFormat/>
    <w:rPr>
      <w:sz w:val="24"/>
      <w:szCs w:val="24"/>
    </w:rPr>
  </w:style>
  <w:style w:type="character" w:styleId="771" w:customStyle="1">
    <w:name w:val="Цитата 2 Знак"/>
    <w:link w:val="800"/>
    <w:uiPriority w:val="29"/>
    <w:qFormat/>
    <w:rPr>
      <w:i/>
    </w:rPr>
  </w:style>
  <w:style w:type="character" w:styleId="772" w:customStyle="1">
    <w:name w:val="Выделенная цитата Знак"/>
    <w:link w:val="801"/>
    <w:uiPriority w:val="30"/>
    <w:qFormat/>
    <w:rPr>
      <w:i/>
    </w:rPr>
  </w:style>
  <w:style w:type="character" w:styleId="773" w:customStyle="1">
    <w:name w:val="Header Char"/>
    <w:basedOn w:val="763"/>
    <w:uiPriority w:val="99"/>
    <w:qFormat/>
  </w:style>
  <w:style w:type="character" w:styleId="774" w:customStyle="1">
    <w:name w:val="Footer Char"/>
    <w:basedOn w:val="763"/>
    <w:uiPriority w:val="99"/>
    <w:qFormat/>
  </w:style>
  <w:style w:type="character" w:styleId="775" w:customStyle="1">
    <w:name w:val="Caption Char"/>
    <w:uiPriority w:val="99"/>
    <w:qFormat/>
  </w:style>
  <w:style w:type="character" w:styleId="776" w:customStyle="1">
    <w:name w:val="Footnote Text Char"/>
    <w:uiPriority w:val="99"/>
    <w:qFormat/>
    <w:rPr>
      <w:sz w:val="18"/>
    </w:rPr>
  </w:style>
  <w:style w:type="character" w:styleId="777" w:customStyle="1">
    <w:name w:val="Текст концевой сноски Знак"/>
    <w:uiPriority w:val="99"/>
    <w:qFormat/>
    <w:rPr>
      <w:sz w:val="20"/>
    </w:rPr>
  </w:style>
  <w:style w:type="character" w:styleId="778">
    <w:name w:val="Символ концевой сноски"/>
    <w:basedOn w:val="763"/>
    <w:uiPriority w:val="99"/>
    <w:semiHidden/>
    <w:unhideWhenUsed/>
    <w:qFormat/>
    <w:rPr>
      <w:vertAlign w:val="superscript"/>
    </w:rPr>
  </w:style>
  <w:style w:type="character" w:styleId="779">
    <w:name w:val="endnote reference"/>
    <w:rPr>
      <w:vertAlign w:val="superscript"/>
    </w:rPr>
  </w:style>
  <w:style w:type="character" w:styleId="780">
    <w:name w:val="FollowedHyperlink"/>
    <w:basedOn w:val="763"/>
    <w:uiPriority w:val="99"/>
    <w:unhideWhenUsed/>
    <w:qFormat/>
    <w:rPr>
      <w:color w:val="800080"/>
      <w:u w:val="single"/>
    </w:rPr>
  </w:style>
  <w:style w:type="character" w:styleId="781">
    <w:name w:val="Hyperlink"/>
    <w:basedOn w:val="763"/>
    <w:uiPriority w:val="99"/>
    <w:unhideWhenUsed/>
    <w:qFormat/>
    <w:rPr>
      <w:color w:val="0000ff"/>
      <w:u w:val="single"/>
    </w:rPr>
  </w:style>
  <w:style w:type="character" w:styleId="782">
    <w:name w:val="Strong"/>
    <w:basedOn w:val="763"/>
    <w:qFormat/>
    <w:rPr>
      <w:rFonts w:cs="Times New Roman"/>
      <w:b/>
      <w:bCs/>
    </w:rPr>
  </w:style>
  <w:style w:type="character" w:styleId="783" w:customStyle="1">
    <w:name w:val="Верхний колонтитул Знак"/>
    <w:basedOn w:val="763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84" w:customStyle="1">
    <w:name w:val="Нижний колонтитул Знак"/>
    <w:basedOn w:val="763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85" w:customStyle="1">
    <w:name w:val="10"/>
    <w:basedOn w:val="763"/>
    <w:qFormat/>
    <w:rPr>
      <w:rFonts w:ascii="Times New Roman" w:hAnsi="Times New Roman" w:cs="Times New Roman"/>
    </w:rPr>
  </w:style>
  <w:style w:type="character" w:styleId="786" w:customStyle="1">
    <w:name w:val="15"/>
    <w:basedOn w:val="763"/>
    <w:qFormat/>
    <w:rPr>
      <w:rFonts w:ascii="Times New Roman" w:hAnsi="Times New Roman" w:cs="Times New Roman"/>
      <w:color w:val="0000ff"/>
      <w:u w:val="single"/>
    </w:rPr>
  </w:style>
  <w:style w:type="character" w:styleId="787" w:customStyle="1">
    <w:name w:val="16"/>
    <w:basedOn w:val="763"/>
    <w:qFormat/>
    <w:rPr>
      <w:rFonts w:ascii="Times New Roman" w:hAnsi="Times New Roman" w:cs="Times New Roman"/>
    </w:rPr>
  </w:style>
  <w:style w:type="character" w:styleId="788" w:customStyle="1">
    <w:name w:val="rts-text"/>
    <w:basedOn w:val="763"/>
    <w:qFormat/>
  </w:style>
  <w:style w:type="character" w:styleId="789">
    <w:name w:val="Символ сноски"/>
    <w:qFormat/>
    <w:rPr>
      <w:vertAlign w:val="superscript"/>
    </w:rPr>
  </w:style>
  <w:style w:type="character" w:styleId="790">
    <w:name w:val="footnote reference"/>
    <w:rPr>
      <w:vertAlign w:val="superscript"/>
    </w:rPr>
  </w:style>
  <w:style w:type="character" w:styleId="791" w:customStyle="1">
    <w:name w:val="Текст сноски Знак"/>
    <w:basedOn w:val="763"/>
    <w:qFormat/>
    <w:rPr>
      <w:rFonts w:ascii="Times New Roman" w:hAnsi="Times New Roman" w:eastAsia="Times New Roman" w:cs="Times New Roman"/>
      <w:lang w:eastAsia="zh-CN"/>
    </w:rPr>
  </w:style>
  <w:style w:type="character" w:styleId="792" w:customStyle="1">
    <w:name w:val="Текст выноски Знак"/>
    <w:basedOn w:val="763"/>
    <w:link w:val="825"/>
    <w:uiPriority w:val="99"/>
    <w:semiHidden/>
    <w:qFormat/>
    <w:rPr>
      <w:rFonts w:ascii="Segoe UI" w:hAnsi="Segoe UI" w:eastAsia="Times New Roman" w:cs="Segoe UI"/>
      <w:sz w:val="18"/>
      <w:szCs w:val="18"/>
    </w:rPr>
  </w:style>
  <w:style w:type="paragraph" w:styleId="793">
    <w:name w:val="Заголовок"/>
    <w:basedOn w:val="753"/>
    <w:next w:val="79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794">
    <w:name w:val="Body Text"/>
    <w:basedOn w:val="753"/>
    <w:pPr>
      <w:spacing w:before="0" w:after="140" w:line="276" w:lineRule="auto"/>
    </w:pPr>
  </w:style>
  <w:style w:type="paragraph" w:styleId="795">
    <w:name w:val="List"/>
    <w:basedOn w:val="794"/>
    <w:rPr>
      <w:rFonts w:cs="Mangal"/>
    </w:rPr>
  </w:style>
  <w:style w:type="paragraph" w:styleId="796">
    <w:name w:val="Caption"/>
    <w:basedOn w:val="753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797">
    <w:name w:val="Указатель"/>
    <w:basedOn w:val="753"/>
    <w:qFormat/>
    <w:pPr>
      <w:suppressLineNumbers/>
    </w:pPr>
    <w:rPr>
      <w:rFonts w:cs="Mangal"/>
    </w:rPr>
  </w:style>
  <w:style w:type="paragraph" w:styleId="798">
    <w:name w:val="Title"/>
    <w:basedOn w:val="753"/>
    <w:next w:val="753"/>
    <w:link w:val="769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99">
    <w:name w:val="Subtitle"/>
    <w:basedOn w:val="753"/>
    <w:next w:val="753"/>
    <w:link w:val="770"/>
    <w:uiPriority w:val="11"/>
    <w:qFormat/>
    <w:pPr>
      <w:spacing w:before="200" w:after="200"/>
    </w:pPr>
  </w:style>
  <w:style w:type="paragraph" w:styleId="800">
    <w:name w:val="Quote"/>
    <w:basedOn w:val="753"/>
    <w:next w:val="753"/>
    <w:link w:val="771"/>
    <w:uiPriority w:val="29"/>
    <w:qFormat/>
    <w:pPr>
      <w:ind w:left="720" w:right="720" w:firstLine="0"/>
    </w:pPr>
    <w:rPr>
      <w:i/>
    </w:rPr>
  </w:style>
  <w:style w:type="paragraph" w:styleId="801">
    <w:name w:val="Intense Quote"/>
    <w:basedOn w:val="753"/>
    <w:next w:val="753"/>
    <w:link w:val="772"/>
    <w:uiPriority w:val="30"/>
    <w:qFormat/>
    <w:pPr>
      <w:ind w:left="720" w:right="720" w:firstLine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02">
    <w:name w:val="Caption"/>
    <w:basedOn w:val="753"/>
    <w:next w:val="7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803">
    <w:name w:val="endnote text"/>
    <w:basedOn w:val="753"/>
    <w:link w:val="777"/>
    <w:uiPriority w:val="99"/>
    <w:semiHidden/>
    <w:unhideWhenUsed/>
    <w:rPr>
      <w:sz w:val="20"/>
    </w:rPr>
  </w:style>
  <w:style w:type="paragraph" w:styleId="804">
    <w:name w:val="toc 1"/>
    <w:basedOn w:val="753"/>
    <w:next w:val="753"/>
    <w:uiPriority w:val="39"/>
    <w:unhideWhenUsed/>
    <w:pPr>
      <w:spacing w:before="0" w:after="57"/>
    </w:pPr>
  </w:style>
  <w:style w:type="paragraph" w:styleId="805">
    <w:name w:val="toc 3"/>
    <w:basedOn w:val="753"/>
    <w:next w:val="753"/>
    <w:uiPriority w:val="39"/>
    <w:unhideWhenUsed/>
    <w:pPr>
      <w:ind w:left="567" w:firstLine="0"/>
      <w:spacing w:before="0" w:after="57"/>
    </w:pPr>
  </w:style>
  <w:style w:type="paragraph" w:styleId="806">
    <w:name w:val="toc 4"/>
    <w:basedOn w:val="753"/>
    <w:next w:val="753"/>
    <w:uiPriority w:val="39"/>
    <w:unhideWhenUsed/>
    <w:pPr>
      <w:ind w:left="850" w:firstLine="0"/>
      <w:spacing w:before="0" w:after="57"/>
    </w:pPr>
  </w:style>
  <w:style w:type="paragraph" w:styleId="807">
    <w:name w:val="toc 5"/>
    <w:basedOn w:val="753"/>
    <w:next w:val="753"/>
    <w:uiPriority w:val="39"/>
    <w:unhideWhenUsed/>
    <w:pPr>
      <w:ind w:left="1134" w:firstLine="0"/>
      <w:spacing w:before="0" w:after="57"/>
    </w:pPr>
  </w:style>
  <w:style w:type="paragraph" w:styleId="808">
    <w:name w:val="toc 6"/>
    <w:basedOn w:val="753"/>
    <w:next w:val="753"/>
    <w:uiPriority w:val="39"/>
    <w:unhideWhenUsed/>
    <w:pPr>
      <w:ind w:left="1417" w:firstLine="0"/>
      <w:spacing w:before="0" w:after="57"/>
    </w:pPr>
  </w:style>
  <w:style w:type="paragraph" w:styleId="809">
    <w:name w:val="toc 7"/>
    <w:basedOn w:val="753"/>
    <w:next w:val="753"/>
    <w:uiPriority w:val="39"/>
    <w:unhideWhenUsed/>
    <w:pPr>
      <w:ind w:left="1701" w:firstLine="0"/>
      <w:spacing w:before="0" w:after="57"/>
    </w:pPr>
  </w:style>
  <w:style w:type="paragraph" w:styleId="810">
    <w:name w:val="toc 8"/>
    <w:basedOn w:val="753"/>
    <w:next w:val="753"/>
    <w:uiPriority w:val="39"/>
    <w:unhideWhenUsed/>
    <w:pPr>
      <w:ind w:left="1984" w:firstLine="0"/>
      <w:spacing w:before="0" w:after="57"/>
    </w:pPr>
  </w:style>
  <w:style w:type="paragraph" w:styleId="811">
    <w:name w:val="toc 9"/>
    <w:basedOn w:val="753"/>
    <w:next w:val="753"/>
    <w:uiPriority w:val="39"/>
    <w:unhideWhenUsed/>
    <w:pPr>
      <w:ind w:left="2268" w:firstLine="0"/>
      <w:spacing w:before="0" w:after="57"/>
    </w:pPr>
  </w:style>
  <w:style w:type="paragraph" w:styleId="812">
    <w:name w:val="Index Heading"/>
    <w:basedOn w:val="793"/>
  </w:style>
  <w:style w:type="paragraph" w:styleId="813">
    <w:name w:val="TOC Heading"/>
    <w:uiPriority w:val="39"/>
    <w:unhideWhenUsed/>
    <w:pPr>
      <w:jc w:val="left"/>
      <w:spacing w:before="0" w:after="0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0"/>
      <w:szCs w:val="20"/>
      <w:lang w:val="ru-RU" w:eastAsia="ru-RU" w:bidi="ar-SA"/>
    </w:rPr>
  </w:style>
  <w:style w:type="paragraph" w:styleId="814">
    <w:name w:val="table of figures"/>
    <w:basedOn w:val="753"/>
    <w:next w:val="753"/>
    <w:uiPriority w:val="99"/>
    <w:unhideWhenUsed/>
    <w:qFormat/>
  </w:style>
  <w:style w:type="paragraph" w:styleId="815">
    <w:name w:val="Body Text Indent 3"/>
    <w:basedOn w:val="753"/>
    <w:uiPriority w:val="99"/>
    <w:unhideWhenUsed/>
    <w:qFormat/>
    <w:pPr>
      <w:ind w:left="283" w:firstLine="0"/>
      <w:spacing w:before="0" w:after="120"/>
    </w:pPr>
    <w:rPr>
      <w:sz w:val="16"/>
      <w:szCs w:val="16"/>
    </w:rPr>
  </w:style>
  <w:style w:type="paragraph" w:styleId="816">
    <w:name w:val="Колонтитул"/>
    <w:basedOn w:val="753"/>
    <w:qFormat/>
  </w:style>
  <w:style w:type="paragraph" w:styleId="817">
    <w:name w:val="Header"/>
    <w:basedOn w:val="753"/>
    <w:link w:val="783"/>
    <w:uiPriority w:val="99"/>
    <w:unhideWhenUsed/>
    <w:qFormat/>
  </w:style>
  <w:style w:type="paragraph" w:styleId="818">
    <w:name w:val="Footer"/>
    <w:basedOn w:val="753"/>
    <w:link w:val="784"/>
    <w:uiPriority w:val="99"/>
    <w:unhideWhenUsed/>
    <w:qFormat/>
  </w:style>
  <w:style w:type="paragraph" w:styleId="819">
    <w:name w:val="Normal (Web)"/>
    <w:basedOn w:val="753"/>
    <w:qFormat/>
    <w:pPr>
      <w:jc w:val="both"/>
      <w:spacing w:beforeAutospacing="1" w:afterAutospacing="1" w:line="360" w:lineRule="auto"/>
    </w:pPr>
    <w:rPr>
      <w:rFonts w:ascii="Verdana" w:hAnsi="Verdana"/>
      <w:color w:val="000000"/>
      <w:sz w:val="18"/>
      <w:szCs w:val="18"/>
    </w:rPr>
  </w:style>
  <w:style w:type="paragraph" w:styleId="820">
    <w:name w:val="No Spacing"/>
    <w:uiPriority w:val="1"/>
    <w:qFormat/>
    <w:pPr>
      <w:jc w:val="left"/>
      <w:spacing w:before="0" w:after="0"/>
      <w:widowControl/>
    </w:pPr>
    <w:rPr>
      <w:rFonts w:ascii="Calibri" w:hAnsi="Calibri" w:eastAsia="Times New Roman" w:cs="Times New Roman" w:asciiTheme="minorHAnsi" w:hAnsiTheme="minorHAnsi"/>
      <w:color w:val="auto"/>
      <w:sz w:val="22"/>
      <w:szCs w:val="22"/>
      <w:lang w:val="ru-RU" w:eastAsia="en-US" w:bidi="ar-SA"/>
    </w:rPr>
  </w:style>
  <w:style w:type="paragraph" w:styleId="821" w:customStyle="1">
    <w:name w:val="rezul"/>
    <w:basedOn w:val="753"/>
    <w:qFormat/>
    <w:pPr>
      <w:ind w:firstLine="283"/>
      <w:jc w:val="both"/>
      <w:widowControl w:val="off"/>
    </w:pPr>
    <w:rPr>
      <w:b/>
      <w:szCs w:val="20"/>
      <w:lang w:val="en-US"/>
    </w:rPr>
  </w:style>
  <w:style w:type="paragraph" w:styleId="822" w:customStyle="1">
    <w:name w:val="Заголов1"/>
    <w:basedOn w:val="753"/>
    <w:uiPriority w:val="99"/>
    <w:qFormat/>
    <w:pPr>
      <w:jc w:val="center"/>
      <w:widowControl w:val="off"/>
    </w:pPr>
    <w:rPr>
      <w:rFonts w:ascii="a_Timer" w:hAnsi="a_Timer" w:cs="a_Timer"/>
      <w:lang w:val="en-US"/>
    </w:rPr>
  </w:style>
  <w:style w:type="paragraph" w:styleId="823">
    <w:name w:val="List Paragraph"/>
    <w:basedOn w:val="753"/>
    <w:uiPriority w:val="99"/>
    <w:qFormat/>
    <w:pPr>
      <w:contextualSpacing/>
      <w:ind w:left="720" w:firstLine="0"/>
      <w:spacing w:before="0" w:after="0"/>
    </w:pPr>
  </w:style>
  <w:style w:type="paragraph" w:styleId="824">
    <w:name w:val="footnote text"/>
    <w:basedOn w:val="753"/>
    <w:link w:val="791"/>
    <w:rPr>
      <w:sz w:val="20"/>
      <w:szCs w:val="20"/>
      <w:lang w:eastAsia="zh-CN"/>
    </w:rPr>
  </w:style>
  <w:style w:type="paragraph" w:styleId="825">
    <w:name w:val="Balloon Text"/>
    <w:basedOn w:val="753"/>
    <w:link w:val="792"/>
    <w:uiPriority w:val="99"/>
    <w:semiHidden/>
    <w:unhideWhenUsed/>
    <w:qFormat/>
    <w:rPr>
      <w:rFonts w:ascii="Segoe UI" w:hAnsi="Segoe UI" w:cs="Segoe UI"/>
      <w:sz w:val="18"/>
      <w:szCs w:val="18"/>
    </w:rPr>
  </w:style>
  <w:style w:type="numbering" w:styleId="826" w:default="1">
    <w:name w:val="No List"/>
    <w:uiPriority w:val="99"/>
    <w:semiHidden/>
    <w:unhideWhenUsed/>
    <w:qFormat/>
  </w:style>
  <w:style w:type="table" w:styleId="827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828" w:customStyle="1">
    <w:name w:val="Table Grid Light"/>
    <w:basedOn w:val="82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29">
    <w:name w:val="Plain Table 1"/>
    <w:basedOn w:val="82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830">
    <w:name w:val="Plain Table 2"/>
    <w:basedOn w:val="827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831">
    <w:name w:val="Plain Table 3"/>
    <w:basedOn w:val="827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32">
    <w:name w:val="Plain Table 4"/>
    <w:basedOn w:val="827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Plain Table 5"/>
    <w:basedOn w:val="827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4">
    <w:name w:val="Grid Table 1 Light"/>
    <w:basedOn w:val="827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Grid Table 1 Light - Accent 1"/>
    <w:basedOn w:val="827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Grid Table 1 Light - Accent 2"/>
    <w:basedOn w:val="827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Grid Table 1 Light - Accent 3"/>
    <w:basedOn w:val="827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Grid Table 1 Light - Accent 4"/>
    <w:basedOn w:val="827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Grid Table 1 Light - Accent 5"/>
    <w:basedOn w:val="827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Grid Table 1 Light - Accent 6"/>
    <w:basedOn w:val="827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Grid Table 2"/>
    <w:basedOn w:val="82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2 - Accent 1"/>
    <w:basedOn w:val="827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dae5f1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dae5f1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2 - Accent 2"/>
    <w:basedOn w:val="827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2 - Accent 3"/>
    <w:basedOn w:val="827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2 - Accent 4"/>
    <w:basedOn w:val="827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Grid Table 2 - Accent 5"/>
    <w:basedOn w:val="827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2 - Accent 6"/>
    <w:basedOn w:val="827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3"/>
    <w:basedOn w:val="82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Grid Table 3 - Accent 1"/>
    <w:basedOn w:val="827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dae5f1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dae5f1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Grid Table 3 - Accent 2"/>
    <w:basedOn w:val="827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Grid Table 3 - Accent 3"/>
    <w:basedOn w:val="827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Grid Table 3 - Accent 4"/>
    <w:basedOn w:val="827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Grid Table 3 - Accent 5"/>
    <w:basedOn w:val="827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Grid Table 3 - Accent 6"/>
    <w:basedOn w:val="827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Grid Table 4"/>
    <w:basedOn w:val="827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56" w:customStyle="1">
    <w:name w:val="Grid Table 4 - Accent 1"/>
    <w:basedOn w:val="827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ce6f2" w:fill="dce6f2" w:themeFill="accent1" w:themeFillTint="32"/>
      </w:tcPr>
    </w:tblStylePr>
    <w:tblStylePr w:type="band1Vert">
      <w:rPr>
        <w:color w:val="404040"/>
        <w:sz w:val="22"/>
      </w:rPr>
      <w:tcPr>
        <w:shd w:val="clear" w:color="dce6f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5d8ac2" w:fill="5d8ac2" w:themeFill="accent1" w:themeFillTint="EA"/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sz="4" w:space="0"/>
        </w:tcBorders>
      </w:tcPr>
    </w:tblStylePr>
  </w:style>
  <w:style w:type="table" w:styleId="857" w:customStyle="1">
    <w:name w:val="Grid Table 4 - Accent 2"/>
    <w:basedOn w:val="827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d99695" w:fill="d99695" w:themeFill="accent2" w:themeFillTint="97"/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sz="4" w:space="0"/>
        </w:tcBorders>
      </w:tcPr>
    </w:tblStylePr>
  </w:style>
  <w:style w:type="table" w:styleId="858" w:customStyle="1">
    <w:name w:val="Grid Table 4 - Accent 3"/>
    <w:basedOn w:val="827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abb59" w:fill="9abb59" w:themeFill="accent3" w:themeFillTint="FE"/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sz="4" w:space="0"/>
        </w:tcBorders>
      </w:tcPr>
    </w:tblStylePr>
  </w:style>
  <w:style w:type="table" w:styleId="859" w:customStyle="1">
    <w:name w:val="Grid Table 4 - Accent 4"/>
    <w:basedOn w:val="827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b2a1c6" w:fill="b2a1c6" w:themeFill="accent4" w:themeFillTint="9A"/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sz="4" w:space="0"/>
        </w:tcBorders>
      </w:tcPr>
    </w:tblStylePr>
  </w:style>
  <w:style w:type="table" w:styleId="860" w:customStyle="1">
    <w:name w:val="Grid Table 4 - Accent 5"/>
    <w:basedOn w:val="827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bacc6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61" w:customStyle="1">
    <w:name w:val="Grid Table 4 - Accent 6"/>
    <w:basedOn w:val="827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7964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62">
    <w:name w:val="Grid Table 5 Dark"/>
    <w:basedOn w:val="82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000000" w:fill="000000" w:themeFill="text1"/>
      </w:tc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</w:style>
  <w:style w:type="table" w:styleId="863" w:customStyle="1">
    <w:name w:val="Grid Table 5 Dark- Accent 1"/>
    <w:basedOn w:val="82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ec4e0" w:fill="aec4e0" w:themeFill="accent1" w:themeFillTint="75"/>
      </w:tcPr>
    </w:tblStylePr>
    <w:tblStylePr w:type="band1Vert">
      <w:tcPr>
        <w:shd w:val="clear" w:color="aec4e0" w:fill="aec4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4f81bd" w:fill="4f81bd" w:themeFill="accent1"/>
      </w:tc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cPr>
        <w:shd w:val="clear" w:color="4f81bd" w:fill="4f81bd" w:themeFill="accent1"/>
        <w:tcBorders>
          <w:top w:val="single" w:color="FFFFFF" w:themeColor="light1" w:sz="4" w:space="0"/>
        </w:tcBorders>
      </w:tcPr>
    </w:tblStylePr>
  </w:style>
  <w:style w:type="table" w:styleId="864" w:customStyle="1">
    <w:name w:val="Grid Table 5 Dark - Accent 2"/>
    <w:basedOn w:val="82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e2aead" w:fill="e2aead" w:themeFill="accent2" w:themeFillTint="75"/>
      </w:tcPr>
    </w:tblStylePr>
    <w:tblStylePr w:type="band1Vert">
      <w:tcPr>
        <w:shd w:val="clear" w:color="e2aead" w:fill="e2aead" w:themeFill="accent2" w:themeFillTint="75"/>
      </w:tcPr>
    </w:tblStylePr>
    <w:tblStylePr w:type="firstCol">
      <w:rPr>
        <w:b/>
        <w:color w:val="ffffff"/>
        <w:sz w:val="22"/>
      </w:rPr>
      <w:tcPr>
        <w:shd w:val="clear" w:color="c0504d" w:fill="c0504d" w:themeFill="accent2"/>
      </w:tcPr>
    </w:tblStylePr>
    <w:tblStylePr w:type="firstRow">
      <w:rPr>
        <w:b/>
        <w:color w:val="ffffff"/>
        <w:sz w:val="22"/>
      </w:rPr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cPr>
        <w:shd w:val="clear" w:color="c0504d" w:fill="c0504d" w:themeFill="accent2"/>
        <w:tcBorders>
          <w:top w:val="single" w:color="FFFFFF" w:themeColor="light1" w:sz="4" w:space="0"/>
        </w:tcBorders>
      </w:tcPr>
    </w:tblStylePr>
  </w:style>
  <w:style w:type="table" w:styleId="865" w:customStyle="1">
    <w:name w:val="Grid Table 5 Dark - Accent 3"/>
    <w:basedOn w:val="82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0dfb2" w:fill="d0dfb2" w:themeFill="accent3" w:themeFillTint="75"/>
      </w:tcPr>
    </w:tblStylePr>
    <w:tblStylePr w:type="band1Vert">
      <w:tcPr>
        <w:shd w:val="clear" w:color="d0dfb2" w:fill="d0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9bbb59" w:fill="9bbb59" w:themeFill="accent3"/>
      </w:tcPr>
    </w:tblStylePr>
    <w:tblStylePr w:type="firstRow">
      <w:rPr>
        <w:b/>
        <w:color w:val="ffffff"/>
        <w:sz w:val="22"/>
      </w:rPr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cPr>
        <w:shd w:val="clear" w:color="9bbb59" w:fill="9bbb59" w:themeFill="accent3"/>
        <w:tcBorders>
          <w:top w:val="single" w:color="FFFFFF" w:themeColor="light1" w:sz="4" w:space="0"/>
        </w:tcBorders>
      </w:tcPr>
    </w:tblStylePr>
  </w:style>
  <w:style w:type="table" w:styleId="866" w:customStyle="1">
    <w:name w:val="Grid Table 5 Dark- Accent 4"/>
    <w:basedOn w:val="82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c4b7d4" w:fill="c4b7d4" w:themeFill="accent4" w:themeFillTint="75"/>
      </w:tcPr>
    </w:tblStylePr>
    <w:tblStylePr w:type="band1Vert">
      <w:tcPr>
        <w:shd w:val="clear" w:color="c4b7d4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8064a2" w:fill="8064a2" w:themeFill="accent4"/>
      </w:tcPr>
    </w:tblStylePr>
    <w:tblStylePr w:type="firstRow">
      <w:rPr>
        <w:b/>
        <w:color w:val="ffffff"/>
        <w:sz w:val="22"/>
      </w:rPr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cPr>
        <w:shd w:val="clear" w:color="8064a2" w:fill="8064a2" w:themeFill="accent4"/>
        <w:tcBorders>
          <w:top w:val="single" w:color="FFFFFF" w:themeColor="light1" w:sz="4" w:space="0"/>
        </w:tcBorders>
      </w:tcPr>
    </w:tblStylePr>
  </w:style>
  <w:style w:type="table" w:styleId="867" w:customStyle="1">
    <w:name w:val="Grid Table 5 Dark - Accent 5"/>
    <w:basedOn w:val="82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cd8e4" w:fill="acd8e4" w:themeFill="accent5" w:themeFillTint="75"/>
      </w:tcPr>
    </w:tblStylePr>
    <w:tblStylePr w:type="band1Vert">
      <w:tcPr>
        <w:shd w:val="clear" w:color="acd8e4" w:fill="acd8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4bacc6" w:fill="4bacc6" w:themeFill="accent5"/>
      </w:tcPr>
    </w:tblStylePr>
    <w:tblStylePr w:type="firstRow">
      <w:rPr>
        <w:b/>
        <w:color w:val="ffffff"/>
        <w:sz w:val="22"/>
      </w:rPr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cPr>
        <w:shd w:val="clear" w:color="4bacc6" w:fill="4bacc6" w:themeFill="accent5"/>
        <w:tcBorders>
          <w:top w:val="single" w:color="FFFFFF" w:themeColor="light1" w:sz="4" w:space="0"/>
        </w:tcBorders>
      </w:tcPr>
    </w:tblStylePr>
  </w:style>
  <w:style w:type="table" w:styleId="868" w:customStyle="1">
    <w:name w:val="Grid Table 5 Dark - Accent 6"/>
    <w:basedOn w:val="82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bceaa" w:fill="fbceaa" w:themeFill="accent6" w:themeFillTint="75"/>
      </w:tcPr>
    </w:tblStylePr>
    <w:tblStylePr w:type="band1Vert">
      <w:tcPr>
        <w:shd w:val="clear" w:color="fbceaa" w:fill="fbceaa" w:themeFill="accent6" w:themeFillTint="75"/>
      </w:tcPr>
    </w:tblStylePr>
    <w:tblStylePr w:type="firstCol">
      <w:rPr>
        <w:b/>
        <w:color w:val="ffffff"/>
        <w:sz w:val="22"/>
      </w:rPr>
      <w:tcPr>
        <w:shd w:val="clear" w:color="f79646" w:fill="f79646" w:themeFill="accent6"/>
      </w:tcPr>
    </w:tblStylePr>
    <w:tblStylePr w:type="firstRow">
      <w:rPr>
        <w:b/>
        <w:color w:val="ffffff"/>
        <w:sz w:val="22"/>
      </w:rPr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cPr>
        <w:shd w:val="clear" w:color="f79646" w:fill="f79646" w:themeFill="accent6"/>
        <w:tcBorders>
          <w:top w:val="single" w:color="FFFFFF" w:themeColor="light1" w:sz="4" w:space="0"/>
        </w:tcBorders>
      </w:tcPr>
    </w:tblStylePr>
  </w:style>
  <w:style w:type="table" w:styleId="869">
    <w:name w:val="Grid Table 6 Colorful"/>
    <w:basedOn w:val="827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70" w:customStyle="1">
    <w:name w:val="Grid Table 6 Colorful - Accent 1"/>
    <w:basedOn w:val="827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71" w:customStyle="1">
    <w:name w:val="Grid Table 6 Colorful - Accent 2"/>
    <w:basedOn w:val="827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72" w:customStyle="1">
    <w:name w:val="Grid Table 6 Colorful - Accent 3"/>
    <w:basedOn w:val="827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73" w:customStyle="1">
    <w:name w:val="Grid Table 6 Colorful - Accent 4"/>
    <w:basedOn w:val="827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74" w:customStyle="1">
    <w:name w:val="Grid Table 6 Colorful - Accent 5"/>
    <w:basedOn w:val="827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75" w:customStyle="1">
    <w:name w:val="Grid Table 6 Colorful - Accent 6"/>
    <w:basedOn w:val="827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76">
    <w:name w:val="Grid Table 7 Colorful"/>
    <w:basedOn w:val="827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sz="4" w:space="0"/>
        </w:tcBorders>
      </w:tcPr>
    </w:tblStylePr>
    <w:tblStylePr w:type="fir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7F7F7F" w:themeColor="text1" w:sz="4" w:space="0"/>
          <w:right w:val="none" w:color="000000" w:sz="0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7" w:customStyle="1">
    <w:name w:val="Grid Table 7 Colorful - Accent 1"/>
    <w:basedOn w:val="827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sz="4" w:space="0"/>
        </w:tcBorders>
      </w:tcPr>
    </w:tblStylePr>
    <w:tblStylePr w:type="fir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sz="4" w:space="0"/>
          <w:right w:val="none" w:color="000000" w:sz="0" w:space="0"/>
        </w:tcBorders>
      </w:tcPr>
    </w:tblStylePr>
    <w:tblStylePr w:type="lastCol">
      <w:rPr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single" w:color="A6BFD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8" w:customStyle="1">
    <w:name w:val="Grid Table 7 Colorful - Accent 2"/>
    <w:basedOn w:val="827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sz="4" w:space="0"/>
        </w:tcBorders>
      </w:tcPr>
    </w:tblStylePr>
    <w:tblStylePr w:type="fir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sz="4" w:space="0"/>
          <w:right w:val="none" w:color="000000" w:sz="0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9" w:customStyle="1">
    <w:name w:val="Grid Table 7 Colorful - Accent 3"/>
    <w:basedOn w:val="827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sz="4" w:space="0"/>
        </w:tcBorders>
      </w:tcPr>
    </w:tblStylePr>
    <w:tblStylePr w:type="fir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sz="4" w:space="0"/>
          <w:right w:val="none" w:color="000000" w:sz="0" w:space="0"/>
        </w:tcBorders>
      </w:tcPr>
    </w:tblStylePr>
    <w:tblStylePr w:type="lastCol">
      <w:rPr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single" w:color="9ABB59" w:themeColor="accent3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0" w:customStyle="1">
    <w:name w:val="Grid Table 7 Colorful - Accent 4"/>
    <w:basedOn w:val="827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sz="4" w:space="0"/>
        </w:tcBorders>
      </w:tcPr>
    </w:tblStylePr>
    <w:tblStylePr w:type="fir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sz="4" w:space="0"/>
          <w:right w:val="none" w:color="000000" w:sz="0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1" w:customStyle="1">
    <w:name w:val="Grid Table 7 Colorful - Accent 5"/>
    <w:basedOn w:val="827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sz="4" w:space="0"/>
        </w:tcBorders>
      </w:tcPr>
    </w:tblStylePr>
    <w:tblStylePr w:type="fir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sz="4" w:space="0"/>
          <w:right w:val="none" w:color="000000" w:sz="0" w:space="0"/>
        </w:tcBorders>
      </w:tcPr>
    </w:tblStylePr>
    <w:tblStylePr w:type="lastCol">
      <w:rPr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single" w:color="99D0DE" w:themeColor="accent5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2" w:customStyle="1">
    <w:name w:val="Grid Table 7 Colorful - Accent 6"/>
    <w:basedOn w:val="827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color w:val="b15407" w:themeColor="accent6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  <w:tblStylePr w:type="firstCol">
      <w:rPr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sz="4" w:space="0"/>
        </w:tcBorders>
      </w:tcPr>
    </w:tblStylePr>
    <w:tblStylePr w:type="fir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sz="4" w:space="0"/>
          <w:right w:val="none" w:color="000000" w:sz="0" w:space="0"/>
        </w:tcBorders>
      </w:tcPr>
    </w:tblStylePr>
    <w:tblStylePr w:type="lastCol">
      <w:rPr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single" w:color="FAC396" w:themeColor="accent6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3">
    <w:name w:val="List Table 1 Light"/>
    <w:basedOn w:val="827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List Table 1 Light - Accent 1"/>
    <w:basedOn w:val="827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List Table 1 Light - Accent 2"/>
    <w:basedOn w:val="827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List Table 1 Light - Accent 3"/>
    <w:basedOn w:val="827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List Table 1 Light - Accent 4"/>
    <w:basedOn w:val="827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List Table 1 Light - Accent 5"/>
    <w:basedOn w:val="827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List Table 1 Light - Accent 6"/>
    <w:basedOn w:val="827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>
    <w:name w:val="List Table 2"/>
    <w:basedOn w:val="827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styleId="891" w:customStyle="1">
    <w:name w:val="List Table 2 - Accent 1"/>
    <w:basedOn w:val="827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2dfee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d2dfee" w:fill="d2df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</w:style>
  <w:style w:type="table" w:styleId="892" w:customStyle="1">
    <w:name w:val="List Table 2 - Accent 2"/>
    <w:basedOn w:val="827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efd2d2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efd2d2" w:fill="efd2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</w:style>
  <w:style w:type="table" w:styleId="893" w:customStyle="1">
    <w:name w:val="List Table 2 - Accent 3"/>
    <w:basedOn w:val="827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5eed5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e5eed5" w:fill="e5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</w:style>
  <w:style w:type="table" w:styleId="894" w:customStyle="1">
    <w:name w:val="List Table 2 - Accent 4"/>
    <w:basedOn w:val="827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dfd8e7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dfd8e7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</w:style>
  <w:style w:type="table" w:styleId="895" w:customStyle="1">
    <w:name w:val="List Table 2 - Accent 5"/>
    <w:basedOn w:val="827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1eaf0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d1eaf0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</w:style>
  <w:style w:type="table" w:styleId="896" w:customStyle="1">
    <w:name w:val="List Table 2 - Accent 6"/>
    <w:basedOn w:val="827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de4d0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fde4d0" w:fill="fde4d0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</w:style>
  <w:style w:type="table" w:styleId="897">
    <w:name w:val="List Table 3"/>
    <w:basedOn w:val="82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 w:customStyle="1">
    <w:name w:val="List Table 3 - Accent 1"/>
    <w:basedOn w:val="827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 w:customStyle="1">
    <w:name w:val="List Table 3 - Accent 2"/>
    <w:basedOn w:val="827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d99695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 w:customStyle="1">
    <w:name w:val="List Table 3 - Accent 3"/>
    <w:basedOn w:val="827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3d69b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 w:customStyle="1">
    <w:name w:val="List Table 3 - Accent 4"/>
    <w:basedOn w:val="827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b2a1c6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 w:customStyle="1">
    <w:name w:val="List Table 3 - Accent 5"/>
    <w:basedOn w:val="827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2ccdc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 w:customStyle="1">
    <w:name w:val="List Table 3 - Accent 6"/>
    <w:basedOn w:val="827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ac090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>
    <w:name w:val="List Table 4"/>
    <w:basedOn w:val="82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 w:customStyle="1">
    <w:name w:val="List Table 4 - Accent 1"/>
    <w:basedOn w:val="827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2dfee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d2dfee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 w:customStyle="1">
    <w:name w:val="List Table 4 - Accent 2"/>
    <w:basedOn w:val="827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efd2d2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efd2d2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0504d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 w:customStyle="1">
    <w:name w:val="List Table 4 - Accent 3"/>
    <w:basedOn w:val="827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5eed5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e5eed5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bbb59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 w:customStyle="1">
    <w:name w:val="List Table 4 - Accent 4"/>
    <w:basedOn w:val="827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dfd8e7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dfd8e7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8064a2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 w:customStyle="1">
    <w:name w:val="List Table 4 - Accent 5"/>
    <w:basedOn w:val="827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1eaf0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d1eaf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bacc6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 w:customStyle="1">
    <w:name w:val="List Table 4 - Accent 6"/>
    <w:basedOn w:val="827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de4d0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fde4d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7964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>
    <w:name w:val="List Table 5 Dark"/>
    <w:basedOn w:val="827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7f7f7f" w:fill="7f7f7f" w:themeFill="text1" w:themeFillTint="80"/>
        <w:tcBorders>
          <w:top w:val="single" w:color="7F7F7F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2" w:customStyle="1">
    <w:name w:val="List Table 5 Dark - Accent 1"/>
    <w:basedOn w:val="827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band1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4f81bd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3" w:customStyle="1">
    <w:name w:val="List Table 5 Dark - Accent 2"/>
    <w:basedOn w:val="827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band1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d99695" w:fill="d99695" w:themeFill="accent2" w:themeFillTint="97"/>
        <w:tcBorders>
          <w:top w:val="single" w:color="D99695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4" w:customStyle="1">
    <w:name w:val="List Table 5 Dark - Accent 3"/>
    <w:basedOn w:val="827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band1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c3d69b" w:fill="c3d69b" w:themeFill="accent3" w:themeFillTint="98"/>
        <w:tcBorders>
          <w:top w:val="single" w:color="C3D69B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5" w:customStyle="1">
    <w:name w:val="List Table 5 Dark - Accent 4"/>
    <w:basedOn w:val="827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band1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b2a1c6" w:fill="b2a1c6" w:themeFill="accent4" w:themeFillTint="9A"/>
        <w:tcBorders>
          <w:top w:val="single" w:color="B2A1C6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6" w:customStyle="1">
    <w:name w:val="List Table 5 Dark - Accent 5"/>
    <w:basedOn w:val="827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band1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92ccdc" w:fill="92ccdc" w:themeFill="accent5" w:themeFillTint="9A"/>
        <w:tcBorders>
          <w:top w:val="single" w:color="92CCDC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7" w:customStyle="1">
    <w:name w:val="List Table 5 Dark - Accent 6"/>
    <w:basedOn w:val="827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band1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ac090" w:fill="fac090" w:themeFill="accent6" w:themeFillTint="98"/>
        <w:tcBorders>
          <w:top w:val="single" w:color="FAC090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8">
    <w:name w:val="List Table 6 Colorful"/>
    <w:basedOn w:val="827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sz="4" w:space="0"/>
        </w:tcBorders>
      </w:tcPr>
    </w:tblStylePr>
  </w:style>
  <w:style w:type="table" w:styleId="919" w:customStyle="1">
    <w:name w:val="List Table 6 Colorful - Accent 1"/>
    <w:basedOn w:val="827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20" w:customStyle="1">
    <w:name w:val="List Table 6 Colorful - Accent 2"/>
    <w:basedOn w:val="827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sz="4" w:space="0"/>
        </w:tcBorders>
      </w:tcPr>
    </w:tblStylePr>
  </w:style>
  <w:style w:type="table" w:styleId="921" w:customStyle="1">
    <w:name w:val="List Table 6 Colorful - Accent 3"/>
    <w:basedOn w:val="827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sz="4" w:space="0"/>
        </w:tcBorders>
      </w:tcPr>
    </w:tblStylePr>
  </w:style>
  <w:style w:type="table" w:styleId="922" w:customStyle="1">
    <w:name w:val="List Table 6 Colorful - Accent 4"/>
    <w:basedOn w:val="827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sz="4" w:space="0"/>
        </w:tcBorders>
      </w:tcPr>
    </w:tblStylePr>
  </w:style>
  <w:style w:type="table" w:styleId="923" w:customStyle="1">
    <w:name w:val="List Table 6 Colorful - Accent 5"/>
    <w:basedOn w:val="827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sz="4" w:space="0"/>
        </w:tcBorders>
      </w:tcPr>
    </w:tblStylePr>
  </w:style>
  <w:style w:type="table" w:styleId="924" w:customStyle="1">
    <w:name w:val="List Table 6 Colorful - Accent 6"/>
    <w:basedOn w:val="827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sz="4" w:space="0"/>
        </w:tcBorders>
      </w:tcPr>
    </w:tblStylePr>
  </w:style>
  <w:style w:type="table" w:styleId="925">
    <w:name w:val="List Table 7 Colorful"/>
    <w:basedOn w:val="827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sz="4" w:space="0"/>
        </w:tcBorders>
      </w:tcPr>
    </w:tblStylePr>
    <w:tblStylePr w:type="fir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7F7F7F" w:themeColor="text1" w:sz="4" w:space="0"/>
          <w:right w:val="none" w:color="000000" w:sz="0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6" w:customStyle="1">
    <w:name w:val="List Table 7 Colorful - Accent 1"/>
    <w:basedOn w:val="827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7" w:customStyle="1">
    <w:name w:val="List Table 7 Colorful - Accent 2"/>
    <w:basedOn w:val="827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sz="4" w:space="0"/>
        </w:tcBorders>
      </w:tcPr>
    </w:tblStylePr>
    <w:tblStylePr w:type="fir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sz="4" w:space="0"/>
          <w:right w:val="none" w:color="000000" w:sz="0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8" w:customStyle="1">
    <w:name w:val="List Table 7 Colorful - Accent 3"/>
    <w:basedOn w:val="827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sz="4" w:space="0"/>
        </w:tcBorders>
      </w:tcPr>
    </w:tblStylePr>
    <w:tblStylePr w:type="fir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sz="4" w:space="0"/>
          <w:right w:val="none" w:color="000000" w:sz="0" w:space="0"/>
        </w:tcBorders>
      </w:tcPr>
    </w:tblStylePr>
    <w:tblStylePr w:type="lastCol">
      <w:rPr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single" w:color="C3D69B" w:themeColor="accent3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9" w:customStyle="1">
    <w:name w:val="List Table 7 Colorful - Accent 4"/>
    <w:basedOn w:val="827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sz="4" w:space="0"/>
        </w:tcBorders>
      </w:tcPr>
    </w:tblStylePr>
    <w:tblStylePr w:type="fir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sz="4" w:space="0"/>
          <w:right w:val="none" w:color="000000" w:sz="0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0" w:customStyle="1">
    <w:name w:val="List Table 7 Colorful - Accent 5"/>
    <w:basedOn w:val="827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sz="4" w:space="0"/>
        </w:tcBorders>
      </w:tcPr>
    </w:tblStylePr>
    <w:tblStylePr w:type="fir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sz="4" w:space="0"/>
          <w:right w:val="none" w:color="000000" w:sz="0" w:space="0"/>
        </w:tcBorders>
      </w:tcPr>
    </w:tblStylePr>
    <w:tblStylePr w:type="lastCol">
      <w:rPr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single" w:color="92CCDC" w:themeColor="accent5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1" w:customStyle="1">
    <w:name w:val="List Table 7 Colorful - Accent 6"/>
    <w:basedOn w:val="827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sz="4" w:space="0"/>
        </w:tcBorders>
      </w:tcPr>
    </w:tblStylePr>
    <w:tblStylePr w:type="fir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sz="4" w:space="0"/>
          <w:right w:val="none" w:color="000000" w:sz="0" w:space="0"/>
        </w:tcBorders>
      </w:tcPr>
    </w:tblStylePr>
    <w:tblStylePr w:type="lastCol">
      <w:rPr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single" w:color="FAC090" w:themeColor="accent6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2" w:customStyle="1">
    <w:name w:val="Lined - Accent"/>
    <w:basedOn w:val="827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2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933" w:customStyle="1">
    <w:name w:val="Lined - Accent 1"/>
    <w:basedOn w:val="827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7d7ea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c7d7ea" w:fill="c7d7ea" w:themeFill="accent1" w:themeFillTint="50"/>
      </w:tcPr>
    </w:tblStylePr>
    <w:tblStylePr w:type="fir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firstRow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cPr>
        <w:shd w:val="clear" w:color="5d8ac2" w:fill="5d8ac2" w:themeFill="accent1" w:themeFillTint="EA"/>
      </w:tcPr>
    </w:tblStylePr>
  </w:style>
  <w:style w:type="table" w:styleId="934" w:customStyle="1">
    <w:name w:val="Lined - Accent 2"/>
    <w:basedOn w:val="827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firstRow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cPr>
        <w:shd w:val="clear" w:color="d99695" w:fill="d99695" w:themeFill="accent2" w:themeFillTint="97"/>
      </w:tcPr>
    </w:tblStylePr>
  </w:style>
  <w:style w:type="table" w:styleId="935" w:customStyle="1">
    <w:name w:val="Lined - Accent 3"/>
    <w:basedOn w:val="827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firstRow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cPr>
        <w:shd w:val="clear" w:color="9abb59" w:fill="9abb59" w:themeFill="accent3" w:themeFillTint="FE"/>
      </w:tcPr>
    </w:tblStylePr>
  </w:style>
  <w:style w:type="table" w:styleId="936" w:customStyle="1">
    <w:name w:val="Lined - Accent 4"/>
    <w:basedOn w:val="827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firstRow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cPr>
        <w:shd w:val="clear" w:color="b2a1c6" w:fill="b2a1c6" w:themeFill="accent4" w:themeFillTint="9A"/>
      </w:tcPr>
    </w:tblStylePr>
  </w:style>
  <w:style w:type="table" w:styleId="937" w:customStyle="1">
    <w:name w:val="Lined - Accent 5"/>
    <w:basedOn w:val="827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color w:val="f2f2f2"/>
        <w:sz w:val="22"/>
      </w:rPr>
      <w:tcPr>
        <w:shd w:val="clear" w:color="4bacc6" w:fill="4bacc6" w:themeFill="accent5"/>
      </w:tcPr>
    </w:tblStylePr>
    <w:tblStylePr w:type="firstRow">
      <w:rPr>
        <w:color w:val="f2f2f2"/>
        <w:sz w:val="22"/>
      </w:rPr>
      <w:tcPr>
        <w:shd w:val="clear" w:color="4bacc6" w:fill="4bacc6" w:themeFill="accent5"/>
      </w:tcPr>
    </w:tblStylePr>
    <w:tblStylePr w:type="lastCol">
      <w:rPr>
        <w:color w:val="f2f2f2"/>
        <w:sz w:val="22"/>
      </w:rPr>
      <w:tcPr>
        <w:shd w:val="clear" w:color="4bacc6" w:fill="4bacc6" w:themeFill="accent5"/>
      </w:tcPr>
    </w:tblStylePr>
    <w:tblStylePr w:type="lastRow">
      <w:rPr>
        <w:color w:val="f2f2f2"/>
        <w:sz w:val="22"/>
      </w:rPr>
      <w:tcPr>
        <w:shd w:val="clear" w:color="4bacc6" w:fill="4bacc6" w:themeFill="accent5"/>
      </w:tcPr>
    </w:tblStylePr>
  </w:style>
  <w:style w:type="table" w:styleId="938" w:customStyle="1">
    <w:name w:val="Lined - Accent 6"/>
    <w:basedOn w:val="827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79646" w:fill="f79646" w:themeFill="accent6"/>
      </w:tcPr>
    </w:tblStylePr>
    <w:tblStylePr w:type="firstRow">
      <w:rPr>
        <w:color w:val="f2f2f2"/>
        <w:sz w:val="22"/>
      </w:rPr>
      <w:tcPr>
        <w:shd w:val="clear" w:color="f79646" w:fill="f79646" w:themeFill="accent6"/>
      </w:tcPr>
    </w:tblStylePr>
    <w:tblStylePr w:type="lastCol">
      <w:rPr>
        <w:color w:val="f2f2f2"/>
        <w:sz w:val="22"/>
      </w:rPr>
      <w:tcPr>
        <w:shd w:val="clear" w:color="f79646" w:fill="f79646" w:themeFill="accent6"/>
      </w:tcPr>
    </w:tblStylePr>
    <w:tblStylePr w:type="lastRow">
      <w:rPr>
        <w:color w:val="f2f2f2"/>
        <w:sz w:val="22"/>
      </w:rPr>
      <w:tcPr>
        <w:shd w:val="clear" w:color="f79646" w:fill="f79646" w:themeFill="accent6"/>
      </w:tcPr>
    </w:tblStylePr>
  </w:style>
  <w:style w:type="table" w:styleId="939" w:customStyle="1">
    <w:name w:val="Bordered &amp; Lined - Accent"/>
    <w:basedOn w:val="827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2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940" w:customStyle="1">
    <w:name w:val="Bordered &amp; Lined - Accent 1"/>
    <w:basedOn w:val="827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7d7ea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c7d7ea" w:fill="c7d7ea" w:themeFill="accent1" w:themeFillTint="50"/>
      </w:tcPr>
    </w:tblStylePr>
    <w:tblStylePr w:type="fir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firstRow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cPr>
        <w:shd w:val="clear" w:color="5d8ac2" w:fill="5d8ac2" w:themeFill="accent1" w:themeFillTint="EA"/>
      </w:tcPr>
    </w:tblStylePr>
  </w:style>
  <w:style w:type="table" w:styleId="941" w:customStyle="1">
    <w:name w:val="Bordered &amp; Lined - Accent 2"/>
    <w:basedOn w:val="827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firstRow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cPr>
        <w:shd w:val="clear" w:color="d99695" w:fill="d99695" w:themeFill="accent2" w:themeFillTint="97"/>
      </w:tcPr>
    </w:tblStylePr>
  </w:style>
  <w:style w:type="table" w:styleId="942" w:customStyle="1">
    <w:name w:val="Bordered &amp; Lined - Accent 3"/>
    <w:basedOn w:val="827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firstRow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cPr>
        <w:shd w:val="clear" w:color="9abb59" w:fill="9abb59" w:themeFill="accent3" w:themeFillTint="FE"/>
      </w:tcPr>
    </w:tblStylePr>
  </w:style>
  <w:style w:type="table" w:styleId="943" w:customStyle="1">
    <w:name w:val="Bordered &amp; Lined - Accent 4"/>
    <w:basedOn w:val="827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firstRow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cPr>
        <w:shd w:val="clear" w:color="b2a1c6" w:fill="b2a1c6" w:themeFill="accent4" w:themeFillTint="9A"/>
      </w:tcPr>
    </w:tblStylePr>
  </w:style>
  <w:style w:type="table" w:styleId="944" w:customStyle="1">
    <w:name w:val="Bordered &amp; Lined - Accent 5"/>
    <w:basedOn w:val="827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color w:val="f2f2f2"/>
        <w:sz w:val="22"/>
      </w:rPr>
      <w:tcPr>
        <w:shd w:val="clear" w:color="4bacc6" w:fill="4bacc6" w:themeFill="accent5"/>
      </w:tcPr>
    </w:tblStylePr>
    <w:tblStylePr w:type="firstRow">
      <w:rPr>
        <w:color w:val="f2f2f2"/>
        <w:sz w:val="22"/>
      </w:rPr>
      <w:tcPr>
        <w:shd w:val="clear" w:color="4bacc6" w:fill="4bacc6" w:themeFill="accent5"/>
      </w:tcPr>
    </w:tblStylePr>
    <w:tblStylePr w:type="lastCol">
      <w:rPr>
        <w:color w:val="f2f2f2"/>
        <w:sz w:val="22"/>
      </w:rPr>
      <w:tcPr>
        <w:shd w:val="clear" w:color="4bacc6" w:fill="4bacc6" w:themeFill="accent5"/>
      </w:tcPr>
    </w:tblStylePr>
    <w:tblStylePr w:type="lastRow">
      <w:rPr>
        <w:color w:val="f2f2f2"/>
        <w:sz w:val="22"/>
      </w:rPr>
      <w:tcPr>
        <w:shd w:val="clear" w:color="4bacc6" w:fill="4bacc6" w:themeFill="accent5"/>
      </w:tcPr>
    </w:tblStylePr>
  </w:style>
  <w:style w:type="table" w:styleId="945" w:customStyle="1">
    <w:name w:val="Bordered &amp; Lined - Accent 6"/>
    <w:basedOn w:val="827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79646" w:fill="f79646" w:themeFill="accent6"/>
      </w:tcPr>
    </w:tblStylePr>
    <w:tblStylePr w:type="firstRow">
      <w:rPr>
        <w:color w:val="f2f2f2"/>
        <w:sz w:val="22"/>
      </w:rPr>
      <w:tcPr>
        <w:shd w:val="clear" w:color="f79646" w:fill="f79646" w:themeFill="accent6"/>
      </w:tcPr>
    </w:tblStylePr>
    <w:tblStylePr w:type="lastCol">
      <w:rPr>
        <w:color w:val="f2f2f2"/>
        <w:sz w:val="22"/>
      </w:rPr>
      <w:tcPr>
        <w:shd w:val="clear" w:color="f79646" w:fill="f79646" w:themeFill="accent6"/>
      </w:tcPr>
    </w:tblStylePr>
    <w:tblStylePr w:type="lastRow">
      <w:rPr>
        <w:color w:val="f2f2f2"/>
        <w:sz w:val="22"/>
      </w:rPr>
      <w:tcPr>
        <w:shd w:val="clear" w:color="f79646" w:fill="f79646" w:themeFill="accent6"/>
      </w:tcPr>
    </w:tblStylePr>
  </w:style>
  <w:style w:type="table" w:styleId="946" w:customStyle="1">
    <w:name w:val="Bordered"/>
    <w:basedOn w:val="827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7F7F7F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7F7F7F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7F7F7F" w:themeColor="text1" w:sz="12" w:space="0"/>
        </w:tcBorders>
      </w:tcPr>
    </w:tblStylePr>
  </w:style>
  <w:style w:type="table" w:styleId="947" w:customStyle="1">
    <w:name w:val="Bordered - Accent 1"/>
    <w:basedOn w:val="827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48" w:customStyle="1">
    <w:name w:val="Bordered - Accent 2"/>
    <w:basedOn w:val="827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D99695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D99695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D99695" w:themeColor="accent2" w:sz="12" w:space="0"/>
        </w:tcBorders>
      </w:tcPr>
    </w:tblStylePr>
  </w:style>
  <w:style w:type="table" w:styleId="949" w:customStyle="1">
    <w:name w:val="Bordered - Accent 3"/>
    <w:basedOn w:val="827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C3D69B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C3D69B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C3D69B" w:themeColor="accent3" w:sz="12" w:space="0"/>
        </w:tcBorders>
      </w:tcPr>
    </w:tblStylePr>
  </w:style>
  <w:style w:type="table" w:styleId="950" w:customStyle="1">
    <w:name w:val="Bordered - Accent 4"/>
    <w:basedOn w:val="827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B2A1C6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B2A1C6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B2A1C6" w:themeColor="accent4" w:sz="12" w:space="0"/>
        </w:tcBorders>
      </w:tcPr>
    </w:tblStylePr>
  </w:style>
  <w:style w:type="table" w:styleId="951" w:customStyle="1">
    <w:name w:val="Bordered - Accent 5"/>
    <w:basedOn w:val="827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92CCDC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92CCDC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92CCDC" w:themeColor="accent5" w:sz="12" w:space="0"/>
        </w:tcBorders>
      </w:tcPr>
    </w:tblStylePr>
  </w:style>
  <w:style w:type="table" w:styleId="952" w:customStyle="1">
    <w:name w:val="Bordered - Accent 6"/>
    <w:basedOn w:val="827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FAC09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FAC09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FAC090" w:themeColor="accent6" w:sz="12" w:space="0"/>
        </w:tcBorders>
      </w:tcPr>
    </w:tblStylePr>
  </w:style>
  <w:style w:type="table" w:styleId="953">
    <w:name w:val="Table Grid"/>
    <w:basedOn w:val="827"/>
    <w:uiPriority w:val="5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www.rts-tender.ru/" TargetMode="External"/><Relationship Id="rId10" Type="http://schemas.openxmlformats.org/officeDocument/2006/relationships/hyperlink" Target="http://www.rts-tender.ru/" TargetMode="External"/><Relationship Id="rId11" Type="http://schemas.openxmlformats.org/officeDocument/2006/relationships/hyperlink" Target="https://www.rts-tender.ru/" TargetMode="External"/><Relationship Id="rId12" Type="http://schemas.openxmlformats.org/officeDocument/2006/relationships/hyperlink" Target="http://www.rts-tender.ru/" TargetMode="External"/><Relationship Id="rId13" Type="http://schemas.openxmlformats.org/officeDocument/2006/relationships/hyperlink" Target="https://www.rts-tender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Grizli777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dc:description/>
  <dc:language>ru-RU</dc:language>
  <cp:revision>47</cp:revision>
  <dcterms:created xsi:type="dcterms:W3CDTF">2023-10-31T06:24:00Z</dcterms:created>
  <dcterms:modified xsi:type="dcterms:W3CDTF">2024-12-25T06:57:05Z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A6359D14764B43E9BA567EF3ABEF27A6</vt:lpwstr>
  </property>
  <property fmtid="{D5CDD505-2E9C-101B-9397-08002B2CF9AE}" pid="3" name="KSOProductBuildVer">
    <vt:lpwstr>1049-11.2.0.11516</vt:lpwstr>
  </property>
</Properties>
</file>