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5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45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45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45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45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45"/>
        <w:ind w:firstLine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4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4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left"/>
        <w:spacing w:before="0" w:after="0" w:line="289" w:lineRule="atLeast"/>
        <w:rPr>
          <w:rFonts w:ascii="Times New Roman" w:hAnsi="Times New Roman" w:cs="Times New Roman"/>
          <w:b/>
          <w:i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22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октября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 февраля 2024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259 «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улица Деминская, земельный участок 4б».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Лот № 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улица Деминская, земельный участок 4б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5232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кадастровый номер: 44:27:061201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1365;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разрешенное использован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производственная деятельность, тяжелая промышленность, автомобилестроительная промышленность, легкая промышленность, энергетика, пищевая промышленность, строительная промышленность, связь, склад, деловое управление, обеспечение внутреннего правопорядка, ко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ммунальное обслуживание, автомобильный транспорт, служебные гаражи, хранение автотранспорта, трубопроводный транспорт, объекты дорожного сервиса, научно-производственная деятельность, фармацевтическая промышленность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3);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  <w:t xml:space="preserve">раница зоны с особыми условиями использования территории ВЛ 0,4 кВ ТП № 334(ВЛ-0,4кВ от ТП-334 на ул.Деминская,2-Б), расположенной на территории Костромской области, Костромского района, г. Кострома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она с особыми условиями использования территории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 реестровым номером 44:27-6.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2930)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охранная зона газопровода – ввода к нежилому строению по адресу: г. Кострома, ул. Деминская, д. 2б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она с особыми условиями использования территории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 реестровым номером 44:27-6.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498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охранная зона ВЛ 0,4 кВ ТП № 334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она с особыми условиями использования территории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 реестровым номером 44:27-6.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75)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производственная деятельност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тяжелая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автомобилестроительная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легкая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энергетика</w:t>
      </w:r>
      <w:r>
        <w:rPr>
          <w:rFonts w:ascii="Times New Roman" w:hAnsi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пищевая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строительная промышленность</w:t>
      </w:r>
      <w:r>
        <w:rPr>
          <w:rFonts w:ascii="Times New Roman" w:hAnsi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связь: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склад: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деловое управление: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обеспечение внутреннего правопорядка: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коммунальное обслуживание: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автомобильный транспорт: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служебные гаражи: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хранение автотранспорта: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трубопроводный транспорт: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объекты дорожного сервиса: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50; предельная высота здания - 10.5 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научно-производственная деятель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фармацевтическая промышленность</w:t>
      </w:r>
      <w: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- срок аренды земельного участка: 8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лет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8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ев;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06.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12.2023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8620д, от 01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12.2023 № исх.02.11/8523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газоснабжение от АО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06.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12.2023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15/2795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03.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11.2023 № исх.4201/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1847-2023;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МУП г. Костромы «Городские сети» от 01.02.2024 №13-01/00341;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764 000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Семьсот шестьдесят четыре тысячи)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шаг аукциона: 22 920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(Двадцать две тысячи девятьсот двадцать)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764 000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Семьсот шестьдесят четыре тысячи)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ителя.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 w:eastAsia="Times New Roman" w:cs="Times New Roman"/>
          <w:bCs/>
          <w:position w:val="0"/>
          <w:sz w:val="22"/>
          <w:szCs w:val="22"/>
        </w:rPr>
        <w:t xml:space="preserve">на один ЛОТ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ата и время начала подачи заявок: 20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сентября 2024 года с 10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Дата и время окончания подачи заявок: 20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октября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года в 18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www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 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i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rts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-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tender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 (ООО «РТС-тендер»)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:shd w:val="clear" w:color="auto" w:fill="ffffff"/>
        </w:rPr>
        <w:t xml:space="preserve">21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  <w:shd w:val="clear" w:color="auto" w:fill="ffffff"/>
        </w:rPr>
        <w:t xml:space="preserve"> октября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4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 года 8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БИК 044525360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Расчётный счёт: 40702810512030016362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Корр. счёт 30101810445250000360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ИНН 7710357167 КПП 773001001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9. Вз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есто, дата, время и порядок определения участников аукциона: 21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октября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 года в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www.rts-tend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(ООО «РТС-тендер»).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11.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22 октября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года в 10 час. 00 мин.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усмотренного пункт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нем.   </w:t>
      </w:r>
      <w:bookmarkEnd w:id="0"/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17.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Отказ от проведения аукциона: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Уполномоченный орган может приня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ть решение об отказе в проведении аукциона в случае выявления обстоятельств, предусмотренных п. 8 ст. 39.11 Кодекса. Извещение об отказе в проведении аукциона размещается на официальном сайте в течение 3-х дней со дня принятия данного решения.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18. Земельный участок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отнесен к промышленной и коммунально – складской зоне размещения объектов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en-US"/>
        </w:rPr>
        <w:t xml:space="preserve">II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en-US"/>
        </w:rPr>
        <w:t xml:space="preserve">III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ru-RU"/>
        </w:rPr>
        <w:t xml:space="preserve">класса опасности П-2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3.3. Градостроительный регламент промышленных</w:t>
        <w:br/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и коммунально-складских зон размещения объектов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II, III класса опасности П-2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3.3.1. Для земельных участков и объектов капитального строительства, расположенных в пределах зоны размещения промышленных и коммунально-складских зон размещения объектов II-V класса опасности П-2 (далее - зона П-2) устанавливаются следующие основные виды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</w:rPr>
      </w:r>
    </w:p>
    <w:tbl>
      <w:tblPr>
        <w:tblStyle w:val="94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объектов капитального строительства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Предельные параметры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Код вида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Производственная деятельность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- 0,06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Тяжелая промышленность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Автомобилестроительная промышленность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6.2.1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Легкая промышленность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Энергетика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объекты гидроэнергетики, тепловые станции и другие электростанции, обслуживающие объекты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иные показатели: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для линейных объектов и объектов капитального строительства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6.7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Пищевая промышленность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Строительная промышленность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6.6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Связь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для объектов капитального строительства: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иные показатели: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нсивности электромагнитного излучения радиочастот;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6.8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Склад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терминалы и доки, нефтехранилища и нефтеналивные станции, газовые хранилища, элеваторы и продовольственные склады, за исключением железнодорожных перевалочных складов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- 5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6.9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Деловое управление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- 0,001 га на 1 рабочее место;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- 4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- 40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Обеспечение деятельности в области гидрометеорологии и смежных с ней областях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- 0,001 га на 1 рабочее место;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- 8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- 50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3.9.1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Обеспечение внутреннего правопорядка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- 0,02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- 2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- 40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8.3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Коммунальное обслуживание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- 0,001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- 0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- 2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- 100 процентов.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- 0,04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предельная высота зданий - 11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- 40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Автомобильный транспорт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- 0,02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- 4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- 40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Служебные гаражи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- 0,02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- 3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- 50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4.9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Хранение автотранспорта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- 0,002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- 0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- 2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- 100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2.7.1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Трубопроводный транспорт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нефтепроводы, водопроводы, газопроводы и иные трубопроводы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здания и сооружения, необходимые для эксплуатации нефтепроводов, водопроводов, газопроводов и иных трубопроводов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- 0,002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- 0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- 3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- 100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Объекты дорожного сервиса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- 0,1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предельная высота зданий - 10,5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- 50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4.9.1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Земельные участки (территории) общего пользования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12.0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Улично-дорожная сеть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12.0.1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Научно-производственная деятельность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- 0,06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6.12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Фармацевтическая промышленность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6.3.1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Размещение гаражей для собственных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- 0,002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- 0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- 2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- 100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2.7.2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Стоянка транспортных средств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- 0,002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- 0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- 0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4.9.2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3.3.2. Для земельных участков и объектов капитального строительства, расположенных в пределах зоны П-2,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sz w:val="24"/>
        </w:rPr>
      </w:r>
      <w:r/>
    </w:p>
    <w:tbl>
      <w:tblPr>
        <w:tblStyle w:val="94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объектов капитального строительства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Предельные параметры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Код вида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Общественное питание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максимальные размеры земельных участков на 100 посадочных мест: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до 50 - 0,2-0,25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от 50 до 150 - 0,15-0,2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свыше 150 - 0,1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- 3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- 50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4.6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- 0,02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- 3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для объектов капитального строительства - 40 процентов;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для площадок для занятия спортом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Амбулаторно-поликлиническое обслуживание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- 0,3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- 3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- 40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3.4.1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Выставочно-ярмарочная деятельность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- 0,1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- 5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- 40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4.10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Магазины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- 0,04 га на 100 кв. м торговой площади;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- 5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- 50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Нефтехимическая промышленность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6.5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3.3.3. Для земельных участков и объектов капитального строительства, расположенных в пределах зоны П-2, устанавливаются следующие вспомогательные виды использования:</w:t>
      </w:r>
      <w:r>
        <w:rPr>
          <w:rFonts w:ascii="Times New Roman" w:hAnsi="Times New Roman" w:eastAsia="Times New Roman" w:cs="Times New Roman"/>
          <w:sz w:val="24"/>
        </w:rPr>
      </w:r>
      <w:r/>
    </w:p>
    <w:tbl>
      <w:tblPr>
        <w:tblStyle w:val="94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Вид использования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Код вида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для объектов энергетики: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обслуживающие и вспомогательные для электростанций сооружения (золоотвалы, гидротехнические сооружения)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6.7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для складов: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газоконденсатные и газоперекачивающие станции, обслуживающие газохранилища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6.9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обслуживание указанных мероприятий (застройка экспозиционной площади, организация питания участников мероприятий)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4.10</w:t>
            </w:r>
            <w:r/>
          </w:p>
        </w:tc>
      </w:tr>
    </w:tbl>
    <w:p>
      <w:pPr>
        <w:contextualSpacing w:val="0"/>
        <w:ind w:left="0" w:right="0" w:firstLine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ind w:firstLine="709"/>
        <w:jc w:val="both"/>
        <w:rPr>
          <w:highlight w:val="none"/>
          <w14:ligatures w14:val="none"/>
        </w:rPr>
      </w:pPr>
      <w:r>
        <w:br w:type="page" w:clear="all"/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745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45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45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45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45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45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45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45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45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45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82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45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45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82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45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45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45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45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45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45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45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45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45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2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2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45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45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45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45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45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45"/>
        <w:ind w:left="7655" w:firstLine="0"/>
        <w:jc w:val="both"/>
        <w:widowControl w:val="off"/>
      </w:pPr>
      <w:r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</w:r>
      <w:r/>
    </w:p>
    <w:p>
      <w:pPr>
        <w:pStyle w:val="745"/>
        <w:ind w:firstLine="851"/>
        <w:jc w:val="center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ind w:firstLine="851"/>
        <w:jc w:val="center"/>
        <w:widowControl w:val="off"/>
      </w:pPr>
      <w:r>
        <w:rPr>
          <w:b/>
          <w:sz w:val="20"/>
          <w:szCs w:val="20"/>
        </w:rPr>
        <w:t xml:space="preserve">ДОГОВОР АРЕНДЫ ЗЕМЕЛЬНОГО УЧАСТКА №._______</w:t>
      </w:r>
      <w:r>
        <w:rPr>
          <w:b/>
          <w:sz w:val="20"/>
          <w:szCs w:val="20"/>
        </w:rPr>
      </w:r>
      <w:r/>
    </w:p>
    <w:p>
      <w:pPr>
        <w:pStyle w:val="745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ind w:firstLine="851"/>
        <w:jc w:val="both"/>
        <w:widowControl w:val="off"/>
      </w:pPr>
      <w:r>
        <w:rPr>
          <w:b/>
          <w:sz w:val="20"/>
          <w:szCs w:val="20"/>
        </w:rPr>
        <w:t xml:space="preserve">Управление имущественных и земельных отношений Администрации города Костромы</w:t>
      </w:r>
      <w:r>
        <w:rPr>
          <w:sz w:val="20"/>
          <w:szCs w:val="20"/>
        </w:rPr>
        <w:t xml:space="preserve">, в лице _____________________________________, действующего на основании П</w:t>
      </w:r>
      <w:r>
        <w:rPr>
          <w:sz w:val="20"/>
          <w:szCs w:val="20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b/>
          <w:sz w:val="20"/>
          <w:szCs w:val="20"/>
        </w:rPr>
        <w:t xml:space="preserve">______________________________________</w:t>
      </w:r>
      <w:r>
        <w:rPr>
          <w:sz w:val="20"/>
          <w:szCs w:val="20"/>
        </w:rPr>
        <w:t xml:space="preserve">, в лице ____________________________, действующего на </w:t>
      </w:r>
      <w:r>
        <w:rPr>
          <w:sz w:val="20"/>
          <w:szCs w:val="20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sz w:val="20"/>
          <w:szCs w:val="20"/>
        </w:rPr>
      </w:r>
      <w:r/>
    </w:p>
    <w:p>
      <w:pPr>
        <w:pStyle w:val="745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  <w:t xml:space="preserve">1. Предмет договора</w:t>
      </w:r>
      <w:r>
        <w:rPr>
          <w:b/>
          <w:bCs/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/>
    </w:p>
    <w:p>
      <w:pPr>
        <w:pStyle w:val="745"/>
        <w:numPr>
          <w:ilvl w:val="1"/>
          <w:numId w:val="9"/>
        </w:numPr>
        <w:ind w:left="0" w:firstLine="709"/>
        <w:jc w:val="both"/>
        <w:widowControl w:val="off"/>
      </w:pPr>
      <w:r>
        <w:rPr>
          <w:sz w:val="20"/>
          <w:szCs w:val="20"/>
        </w:rPr>
        <w:t xml:space="preserve">Арендода</w:t>
      </w:r>
      <w:r>
        <w:rPr>
          <w:sz w:val="20"/>
          <w:szCs w:val="20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sz w:val="20"/>
          <w:szCs w:val="20"/>
        </w:rPr>
        <w:t xml:space="preserve">ая область, город Кострома, ________________ (далее – Участок), вид разрешенного использования: ___________________, в границах, указанных в </w:t>
      </w:r>
      <w:r>
        <w:rPr>
          <w:sz w:val="20"/>
          <w:szCs w:val="20"/>
          <w:lang w:val="en-US"/>
        </w:rPr>
        <w:t xml:space="preserve">________________</w:t>
      </w:r>
      <w:r>
        <w:rPr>
          <w:sz w:val="20"/>
          <w:szCs w:val="20"/>
        </w:rPr>
        <w:t xml:space="preserve">, общей площадью __________ квадратных метра (ов).</w:t>
      </w:r>
      <w:r>
        <w:rPr>
          <w:sz w:val="20"/>
          <w:szCs w:val="20"/>
        </w:rPr>
      </w:r>
      <w:r/>
    </w:p>
    <w:p>
      <w:pPr>
        <w:pStyle w:val="745"/>
        <w:numPr>
          <w:ilvl w:val="1"/>
          <w:numId w:val="9"/>
        </w:numPr>
        <w:ind w:left="0" w:firstLine="709"/>
        <w:jc w:val="both"/>
        <w:widowControl w:val="off"/>
      </w:pPr>
      <w:r>
        <w:rPr>
          <w:sz w:val="20"/>
          <w:szCs w:val="20"/>
        </w:rPr>
        <w:t xml:space="preserve">Участок имеет следующие ограничения (обременения):</w:t>
      </w:r>
      <w:r>
        <w:rPr>
          <w:sz w:val="20"/>
          <w:szCs w:val="20"/>
        </w:rPr>
      </w:r>
      <w:r/>
    </w:p>
    <w:p>
      <w:pPr>
        <w:pStyle w:val="745"/>
        <w:ind w:firstLine="709"/>
        <w:jc w:val="both"/>
        <w:widowControl w:val="off"/>
      </w:pPr>
      <w:r>
        <w:rPr>
          <w:sz w:val="20"/>
          <w:szCs w:val="20"/>
        </w:rPr>
        <w:t xml:space="preserve">-</w:t>
      </w:r>
      <w:r>
        <w:rPr>
          <w:sz w:val="20"/>
          <w:szCs w:val="20"/>
        </w:rPr>
      </w:r>
      <w:r/>
    </w:p>
    <w:p>
      <w:pPr>
        <w:pStyle w:val="745"/>
        <w:ind w:firstLine="709"/>
        <w:jc w:val="both"/>
        <w:widowControl w:val="off"/>
      </w:pPr>
      <w:r>
        <w:rPr>
          <w:sz w:val="20"/>
          <w:szCs w:val="20"/>
        </w:rPr>
        <w:t xml:space="preserve">-</w:t>
      </w:r>
      <w:r>
        <w:rPr>
          <w:sz w:val="20"/>
          <w:szCs w:val="20"/>
        </w:rPr>
      </w:r>
      <w:r/>
    </w:p>
    <w:p>
      <w:pPr>
        <w:pStyle w:val="745"/>
        <w:ind w:firstLine="709"/>
        <w:jc w:val="both"/>
        <w:widowControl w:val="off"/>
      </w:pPr>
      <w:r>
        <w:rPr>
          <w:sz w:val="20"/>
          <w:szCs w:val="20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  <w:t xml:space="preserve">2. Срок Договора</w:t>
      </w:r>
      <w:r>
        <w:rPr>
          <w:b/>
          <w:bCs/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/>
    </w:p>
    <w:p>
      <w:pPr>
        <w:pStyle w:val="745"/>
        <w:numPr>
          <w:ilvl w:val="1"/>
          <w:numId w:val="10"/>
        </w:numPr>
        <w:ind w:left="0" w:firstLine="851"/>
        <w:jc w:val="both"/>
        <w:widowControl w:val="off"/>
      </w:pPr>
      <w:r>
        <w:rPr>
          <w:sz w:val="20"/>
          <w:szCs w:val="20"/>
        </w:rPr>
        <w:t xml:space="preserve">Договор заключен сроком на ______ с даты его подписания Сторонами. </w:t>
      </w:r>
      <w:r>
        <w:rPr>
          <w:sz w:val="20"/>
          <w:szCs w:val="20"/>
        </w:rPr>
      </w:r>
      <w:r/>
    </w:p>
    <w:p>
      <w:pPr>
        <w:pStyle w:val="745"/>
        <w:numPr>
          <w:ilvl w:val="1"/>
          <w:numId w:val="10"/>
        </w:numPr>
        <w:ind w:left="0" w:firstLine="851"/>
        <w:jc w:val="both"/>
        <w:widowControl w:val="off"/>
      </w:pPr>
      <w:r>
        <w:rPr>
          <w:sz w:val="20"/>
          <w:szCs w:val="20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sz w:val="20"/>
          <w:szCs w:val="20"/>
        </w:rPr>
      </w:r>
      <w:r/>
    </w:p>
    <w:p>
      <w:pPr>
        <w:pStyle w:val="745"/>
        <w:numPr>
          <w:ilvl w:val="1"/>
          <w:numId w:val="10"/>
        </w:numPr>
        <w:ind w:left="0" w:firstLine="851"/>
        <w:jc w:val="both"/>
        <w:widowControl w:val="off"/>
      </w:pPr>
      <w:r>
        <w:rPr>
          <w:sz w:val="20"/>
          <w:szCs w:val="20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  <w:t xml:space="preserve">3. Размер и условия внесения арендной платы</w:t>
      </w:r>
      <w:r>
        <w:rPr>
          <w:b/>
          <w:bCs/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/>
    </w:p>
    <w:p>
      <w:pPr>
        <w:pStyle w:val="745"/>
        <w:numPr>
          <w:ilvl w:val="1"/>
          <w:numId w:val="11"/>
        </w:numPr>
        <w:ind w:left="0" w:right="-5" w:firstLine="851"/>
        <w:jc w:val="both"/>
        <w:widowControl w:val="off"/>
      </w:pPr>
      <w:r>
        <w:rPr>
          <w:sz w:val="20"/>
          <w:szCs w:val="20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color w:val="ff0000"/>
          <w:sz w:val="20"/>
          <w:szCs w:val="20"/>
        </w:rPr>
      </w:r>
      <w:r/>
    </w:p>
    <w:p>
      <w:pPr>
        <w:numPr>
          <w:ilvl w:val="1"/>
          <w:numId w:val="11"/>
        </w:numPr>
        <w:ind w:left="0" w:right="-5" w:firstLine="851"/>
        <w:jc w:val="both"/>
        <w:widowControl w:val="off"/>
        <w:tabs>
          <w:tab w:val="clear" w:pos="0" w:leader="none"/>
        </w:tabs>
      </w:pPr>
      <w:r>
        <w:rPr>
          <w:sz w:val="20"/>
          <w:szCs w:val="20"/>
        </w:rPr>
      </w:r>
      <w:r>
        <w:rPr>
          <w:sz w:val="20"/>
          <w:szCs w:val="20"/>
        </w:rPr>
        <w:t xml:space="preserve">Арендатор перечисляет Арендодателю на расчетный сче</w:t>
      </w:r>
      <w:r>
        <w:rPr>
          <w:sz w:val="20"/>
          <w:szCs w:val="20"/>
        </w:rPr>
        <w:t xml:space="preserve">т </w:t>
      </w:r>
      <w:r>
        <w:rPr>
          <w:sz w:val="20"/>
          <w:szCs w:val="20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sz w:val="20"/>
          <w:szCs w:val="20"/>
          <w:lang w:eastAsia="ru-RU"/>
        </w:rPr>
        <w:t xml:space="preserve"> Администрации города Костромы),</w:t>
      </w:r>
      <w:r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ИНН 4401006568, КПП 440101001, единый казначейский счет 40102810945370000034</w:t>
      </w:r>
      <w:r>
        <w:rPr>
          <w:sz w:val="20"/>
          <w:szCs w:val="20"/>
          <w:lang w:eastAsia="ru-RU"/>
        </w:rPr>
        <w:t xml:space="preserve">, </w:t>
      </w:r>
      <w:r>
        <w:rPr>
          <w:sz w:val="20"/>
          <w:szCs w:val="20"/>
          <w:lang w:eastAsia="ru-RU"/>
        </w:rPr>
        <w:t xml:space="preserve">казначейский счет 03100643000000014100, </w:t>
      </w:r>
      <w:r>
        <w:rPr>
          <w:sz w:val="20"/>
          <w:szCs w:val="20"/>
          <w:lang w:eastAsia="ru-RU"/>
        </w:rPr>
        <w:t xml:space="preserve">б</w:t>
      </w:r>
      <w:r>
        <w:rPr>
          <w:sz w:val="20"/>
          <w:szCs w:val="20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«За аренду земельного участка по адресу: ____________________</w:t>
      </w:r>
      <w:r>
        <w:rPr>
          <w:sz w:val="20"/>
          <w:szCs w:val="20"/>
        </w:rPr>
        <w:t xml:space="preserve">_____________, </w:t>
      </w:r>
      <w:r>
        <w:rPr>
          <w:sz w:val="20"/>
          <w:szCs w:val="20"/>
        </w:rPr>
        <w:t xml:space="preserve">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sz w:val="20"/>
          <w:szCs w:val="20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b/>
          <w:sz w:val="20"/>
          <w:szCs w:val="20"/>
        </w:rPr>
        <w:t xml:space="preserve">__________________________</w:t>
      </w:r>
      <w:r>
        <w:rPr>
          <w:sz w:val="20"/>
          <w:szCs w:val="20"/>
        </w:rPr>
        <w:t xml:space="preserve"> зачисляется в счет арендной платы за земельный участок по настоящему Договору.</w:t>
      </w:r>
      <w:r>
        <w:rPr>
          <w:sz w:val="20"/>
          <w:szCs w:val="20"/>
        </w:rPr>
      </w:r>
      <w:r/>
    </w:p>
    <w:p>
      <w:pPr>
        <w:pStyle w:val="745"/>
        <w:numPr>
          <w:ilvl w:val="1"/>
          <w:numId w:val="11"/>
        </w:numPr>
        <w:ind w:left="0" w:firstLine="851"/>
        <w:jc w:val="both"/>
        <w:widowControl w:val="off"/>
      </w:pPr>
      <w:r>
        <w:rPr>
          <w:sz w:val="20"/>
          <w:szCs w:val="20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sz w:val="20"/>
          <w:szCs w:val="20"/>
        </w:rPr>
      </w:r>
      <w:r/>
    </w:p>
    <w:p>
      <w:pPr>
        <w:pStyle w:val="745"/>
        <w:numPr>
          <w:ilvl w:val="1"/>
          <w:numId w:val="11"/>
        </w:numPr>
        <w:ind w:left="0" w:firstLine="851"/>
        <w:jc w:val="both"/>
        <w:widowControl w:val="off"/>
      </w:pPr>
      <w:r>
        <w:rPr>
          <w:sz w:val="20"/>
          <w:szCs w:val="20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sz w:val="20"/>
          <w:szCs w:val="20"/>
        </w:rPr>
      </w:r>
      <w:r/>
    </w:p>
    <w:p>
      <w:pPr>
        <w:pStyle w:val="745"/>
        <w:numPr>
          <w:ilvl w:val="1"/>
          <w:numId w:val="11"/>
        </w:numPr>
        <w:ind w:left="0" w:firstLine="851"/>
        <w:jc w:val="both"/>
        <w:widowControl w:val="off"/>
      </w:pPr>
      <w:r>
        <w:rPr>
          <w:sz w:val="20"/>
          <w:szCs w:val="20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sz w:val="20"/>
          <w:szCs w:val="20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sz w:val="20"/>
          <w:szCs w:val="20"/>
        </w:rPr>
      </w:r>
      <w:r/>
    </w:p>
    <w:p>
      <w:pPr>
        <w:pStyle w:val="745"/>
        <w:numPr>
          <w:ilvl w:val="1"/>
          <w:numId w:val="11"/>
        </w:numPr>
        <w:ind w:left="0" w:firstLine="851"/>
        <w:jc w:val="both"/>
        <w:widowControl w:val="off"/>
      </w:pPr>
      <w:r>
        <w:rPr>
          <w:sz w:val="20"/>
          <w:szCs w:val="20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sz w:val="20"/>
          <w:szCs w:val="20"/>
        </w:rPr>
      </w:r>
      <w:r/>
    </w:p>
    <w:p>
      <w:pPr>
        <w:pStyle w:val="745"/>
        <w:ind w:firstLine="851"/>
        <w:jc w:val="both"/>
        <w:widowControl w:val="off"/>
      </w:pPr>
      <w:r>
        <w:rPr>
          <w:sz w:val="20"/>
          <w:szCs w:val="20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sz w:val="20"/>
          <w:szCs w:val="20"/>
        </w:rPr>
      </w:r>
      <w:r/>
    </w:p>
    <w:p>
      <w:pPr>
        <w:pStyle w:val="745"/>
        <w:numPr>
          <w:ilvl w:val="1"/>
          <w:numId w:val="11"/>
        </w:numPr>
        <w:ind w:left="0" w:firstLine="851"/>
        <w:jc w:val="both"/>
        <w:widowControl w:val="off"/>
      </w:pPr>
      <w:r>
        <w:rPr>
          <w:sz w:val="20"/>
          <w:szCs w:val="20"/>
        </w:rPr>
        <w:t xml:space="preserve">В случае, одностороннего отказа, предусмотренного пунктом 6.2. настоящего Договора, </w:t>
      </w:r>
      <w:r>
        <w:rPr>
          <w:sz w:val="20"/>
          <w:szCs w:val="20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sz w:val="20"/>
          <w:szCs w:val="20"/>
        </w:rPr>
        <w:t xml:space="preserve">предусмотренная пунктом 3.1. настоящего Договора, возврату Арендатору не подлежит.</w:t>
      </w:r>
      <w:r>
        <w:rPr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  <w:t xml:space="preserve">4. Права и обязанности Сторон</w:t>
      </w:r>
      <w:r>
        <w:rPr>
          <w:b/>
          <w:bCs/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4.1. Арендодатель имеет право: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4.2. Арендодатель обязан: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4.2.1. Выполнять в полном объеме все условия Договора.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4.2.2. Передать Арендатору участок по акту приема – передачи.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4.2.5. Предоставлять расчет арендной платы Арендатору по его требованию.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4.3. Арендатор имеет право: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4.3.1. Использовать Участок на условиях, установленных Договором.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4.4. Арендатор обязан: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4.4.1. Выполнять в полном объеме все условия Договора.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4.4.4.</w:t>
        <w:tab/>
        <w:t xml:space="preserve">Обеспечивать Арендодателю и его представителям, пр</w:t>
      </w:r>
      <w:r>
        <w:rPr>
          <w:sz w:val="20"/>
          <w:szCs w:val="20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4.4.5. Письменно сообщить Арендод</w:t>
      </w:r>
      <w:r>
        <w:rPr>
          <w:sz w:val="20"/>
          <w:szCs w:val="20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sz w:val="20"/>
          <w:szCs w:val="20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  <w:t xml:space="preserve">5. Ответственность Сторон</w:t>
      </w:r>
      <w:r>
        <w:rPr>
          <w:b/>
          <w:bCs/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sz w:val="20"/>
          <w:szCs w:val="20"/>
        </w:rPr>
      </w:r>
      <w:r/>
    </w:p>
    <w:p>
      <w:pPr>
        <w:ind w:firstLine="720"/>
        <w:jc w:val="both"/>
        <w:widowControl w:val="off"/>
        <w:rPr>
          <w:sz w:val="20"/>
          <w:szCs w:val="20"/>
          <w14:ligatures w14:val="none"/>
        </w:rPr>
      </w:pPr>
      <w:r>
        <w:rPr>
          <w:sz w:val="20"/>
          <w:szCs w:val="20"/>
        </w:rPr>
        <w:t xml:space="preserve">5.2. За нарушение услов</w:t>
      </w:r>
      <w:r>
        <w:rPr>
          <w:sz w:val="20"/>
          <w:szCs w:val="20"/>
          <w:shd w:val="clear" w:color="ffffff" w:themeColor="background1" w:fill="ffffff" w:themeFill="background1"/>
        </w:rPr>
        <w:t xml:space="preserve">ий Договора Стороны несут ответственность, предусмотренную законодательством Российской Феде</w:t>
      </w:r>
      <w:r>
        <w:rPr>
          <w:sz w:val="20"/>
          <w:szCs w:val="20"/>
          <w:shd w:val="clear" w:color="ffffff" w:themeColor="background1" w:fill="ffffff" w:themeFill="background1"/>
        </w:rPr>
        <w:t xml:space="preserve">р</w:t>
      </w:r>
      <w:r>
        <w:rPr>
          <w:sz w:val="20"/>
          <w:szCs w:val="20"/>
          <w:shd w:val="clear" w:color="ffffff" w:themeColor="background1" w:fill="ffffff" w:themeFill="background1"/>
        </w:rPr>
        <w:t xml:space="preserve">ации.</w:t>
      </w:r>
      <w:r>
        <w:rPr>
          <w:sz w:val="20"/>
          <w:szCs w:val="20"/>
          <w14:ligatures w14:val="none"/>
        </w:rPr>
      </w:r>
      <w:r>
        <w:rPr>
          <w:sz w:val="20"/>
          <w:szCs w:val="20"/>
          <w14:ligatures w14:val="none"/>
        </w:rPr>
      </w:r>
    </w:p>
    <w:p>
      <w:pPr>
        <w:ind w:firstLine="720"/>
        <w:jc w:val="both"/>
        <w:widowControl w:val="off"/>
        <w:rPr>
          <w:sz w:val="20"/>
          <w:szCs w:val="20"/>
          <w14:ligatures w14:val="none"/>
        </w:rPr>
      </w:pPr>
      <w:r>
        <w:rPr>
          <w:sz w:val="20"/>
          <w:szCs w:val="20"/>
          <w:shd w:val="clear" w:color="ffffff" w:themeColor="background1" w:fill="ffffff" w:themeFill="background1"/>
        </w:rPr>
        <w:t xml:space="preserve">5.3. </w:t>
      </w:r>
      <w:r>
        <w:rPr>
          <w:sz w:val="20"/>
          <w:szCs w:val="20"/>
          <w:shd w:val="clear" w:color="ffffff" w:themeColor="background1" w:fill="ffffff" w:themeFill="background1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sz w:val="20"/>
          <w:szCs w:val="20"/>
          <w:shd w:val="clear" w:color="ffffff" w:themeColor="background1" w:fill="ffffff" w:themeFill="background1"/>
          <w:lang w:eastAsia="ru-RU"/>
        </w:rPr>
        <w:t xml:space="preserve"> </w:t>
      </w:r>
      <w:r>
        <w:rPr>
          <w:sz w:val="20"/>
          <w:szCs w:val="20"/>
          <w:shd w:val="clear" w:color="ffffff" w:themeColor="background1" w:fill="ffffff" w:themeFill="background1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sz w:val="20"/>
          <w:szCs w:val="20"/>
          <w:shd w:val="clear" w:color="ffffff" w:themeColor="background1" w:fill="ffffff" w:themeFill="background1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sz w:val="20"/>
          <w:szCs w:val="20"/>
          <w14:ligatures w14:val="none"/>
        </w:rPr>
      </w:r>
      <w:r>
        <w:rPr>
          <w:sz w:val="20"/>
          <w:szCs w:val="20"/>
          <w14:ligatures w14:val="none"/>
        </w:rPr>
      </w:r>
    </w:p>
    <w:p>
      <w:pPr>
        <w:ind w:firstLine="720"/>
        <w:jc w:val="both"/>
        <w:widowControl w:val="off"/>
      </w:pPr>
      <w:r>
        <w:rPr>
          <w:sz w:val="20"/>
          <w:szCs w:val="20"/>
          <w:shd w:val="clear" w:color="ffffff" w:themeColor="background1" w:fill="ffffff" w:themeFill="background1"/>
        </w:rPr>
        <w:t xml:space="preserve">5.4. В случае если Арендатор в срок</w:t>
      </w:r>
      <w:r>
        <w:rPr>
          <w:sz w:val="20"/>
          <w:szCs w:val="20"/>
          <w:shd w:val="clear" w:color="ffffff" w:themeColor="background1" w:fill="ffffff" w:themeFill="background1"/>
        </w:rPr>
        <w:t xml:space="preserve">, установленный в пункте 4.4.12 Договора, не возвратил Участок</w:t>
      </w:r>
      <w:r>
        <w:rPr>
          <w:sz w:val="20"/>
          <w:szCs w:val="20"/>
        </w:rPr>
        <w:t xml:space="preserve">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sz w:val="20"/>
          <w:szCs w:val="20"/>
        </w:rPr>
      </w:r>
      <w:r/>
    </w:p>
    <w:p>
      <w:pPr>
        <w:pStyle w:val="745"/>
        <w:ind w:firstLine="720"/>
        <w:jc w:val="center"/>
        <w:widowControl w:val="off"/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/>
    </w:p>
    <w:p>
      <w:pPr>
        <w:pStyle w:val="745"/>
        <w:ind w:firstLine="720"/>
        <w:jc w:val="center"/>
        <w:widowControl w:val="off"/>
      </w:pPr>
      <w:r>
        <w:rPr>
          <w:b/>
          <w:bCs/>
          <w:sz w:val="20"/>
          <w:szCs w:val="20"/>
        </w:rPr>
        <w:t xml:space="preserve">6. Изменение, расторжение и прекращение Договора</w:t>
      </w:r>
      <w:r>
        <w:rPr>
          <w:b/>
          <w:bCs/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6.1. Все изменения и (или) дополнения к Договору оформляются Сторонами в письменной форме.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6.2.2. при существенном ухудшении состояния земельного участка;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6.3. В случае одностороннего отказа </w:t>
      </w:r>
      <w:r>
        <w:rPr>
          <w:sz w:val="20"/>
          <w:szCs w:val="20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sz w:val="20"/>
          <w:szCs w:val="20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sz w:val="20"/>
          <w:szCs w:val="20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6.5. Односторонний отказ от исполнения Договора, предусмотренный пу</w:t>
      </w:r>
      <w:r>
        <w:rPr>
          <w:sz w:val="20"/>
          <w:szCs w:val="20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6.6. Договор считается прекращенным по истечении срока, на который он заключен.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6.7. При прекращени</w:t>
      </w:r>
      <w:r>
        <w:rPr>
          <w:sz w:val="20"/>
          <w:szCs w:val="20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sz w:val="20"/>
          <w:szCs w:val="20"/>
        </w:rPr>
      </w:r>
      <w:r/>
    </w:p>
    <w:p>
      <w:pPr>
        <w:jc w:val="center"/>
        <w:widowControl w:val="off"/>
      </w:pPr>
      <w:r>
        <w:rPr>
          <w:b/>
          <w:bCs/>
          <w:sz w:val="20"/>
          <w:szCs w:val="20"/>
          <w:highlight w:val="none"/>
        </w:rPr>
      </w:r>
      <w:r>
        <w:rPr>
          <w:b/>
          <w:bCs/>
          <w:sz w:val="20"/>
          <w:szCs w:val="20"/>
          <w:highlight w:val="none"/>
        </w:rPr>
      </w:r>
      <w:r/>
    </w:p>
    <w:p>
      <w:pPr>
        <w:pStyle w:val="745"/>
        <w:jc w:val="center"/>
        <w:widowControl w:val="off"/>
        <w:rPr>
          <w:b/>
          <w:bCs/>
          <w:sz w:val="20"/>
          <w:szCs w:val="20"/>
          <w:highlight w:val="none"/>
        </w:rPr>
      </w:pPr>
      <w:r>
        <w:rPr>
          <w:b/>
          <w:bCs/>
          <w:sz w:val="20"/>
          <w:szCs w:val="20"/>
        </w:rPr>
        <w:t xml:space="preserve">7. Рассмотрение и урегулирование споров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  <w:highlight w:val="none"/>
        </w:rPr>
      </w:r>
    </w:p>
    <w:p>
      <w:pPr>
        <w:pStyle w:val="745"/>
        <w:jc w:val="both"/>
        <w:widowControl w:val="off"/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  <w:t xml:space="preserve">8. Особые условия договора</w:t>
      </w:r>
      <w:r>
        <w:rPr>
          <w:b/>
          <w:bCs/>
          <w:sz w:val="20"/>
          <w:szCs w:val="20"/>
        </w:rPr>
      </w:r>
      <w:r/>
    </w:p>
    <w:p>
      <w:pPr>
        <w:pStyle w:val="745"/>
        <w:ind w:firstLine="720"/>
        <w:jc w:val="center"/>
        <w:widowControl w:val="off"/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8.1. Настоящий Договор составлен в 3-х экземплярах, имеющих одинаковую юридическую силу, по одному для каждой из Сторон и один для Управления Федеральной службы государственной регистрации, кадастра и картографии по Костромской области.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8.2. Расходы по государственной регистрации Договора несет Арендатор.</w:t>
      </w:r>
      <w:r>
        <w:rPr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  <w:t xml:space="preserve">9. Реквизиты Сторон</w:t>
      </w:r>
      <w:r>
        <w:rPr>
          <w:b/>
          <w:bCs/>
          <w:sz w:val="20"/>
          <w:szCs w:val="20"/>
        </w:rPr>
      </w:r>
      <w:r/>
    </w:p>
    <w:p>
      <w:pPr>
        <w:pStyle w:val="745"/>
        <w:ind w:firstLine="720"/>
        <w:jc w:val="center"/>
        <w:widowControl w:val="off"/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Арендатор:  ______________________________________________________</w:t>
      </w:r>
      <w:r>
        <w:rPr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  <w:t xml:space="preserve">10. Подписи Сторон</w:t>
      </w:r>
      <w:r>
        <w:rPr>
          <w:b/>
          <w:bCs/>
          <w:sz w:val="20"/>
          <w:szCs w:val="20"/>
        </w:rPr>
      </w:r>
      <w:r/>
    </w:p>
    <w:p>
      <w:pPr>
        <w:pStyle w:val="745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45"/>
              <w:jc w:val="center"/>
              <w:widowControl w:val="off"/>
            </w:pPr>
            <w:r>
              <w:rPr>
                <w:sz w:val="20"/>
                <w:szCs w:val="20"/>
              </w:rPr>
              <w:t xml:space="preserve">Арендодатель: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5"/>
              <w:jc w:val="center"/>
              <w:widowControl w:val="off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45"/>
              <w:ind w:firstLine="65"/>
              <w:jc w:val="center"/>
              <w:widowControl w:val="off"/>
            </w:pPr>
            <w:r>
              <w:rPr>
                <w:sz w:val="20"/>
                <w:szCs w:val="20"/>
              </w:rPr>
              <w:t xml:space="preserve">Арендатор:</w:t>
            </w:r>
            <w:r>
              <w:rPr>
                <w:sz w:val="20"/>
                <w:szCs w:val="20"/>
              </w:rPr>
            </w:r>
            <w:r/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45"/>
              <w:jc w:val="center"/>
              <w:widowControl w:val="off"/>
            </w:pPr>
            <w:r>
              <w:rPr>
                <w:sz w:val="20"/>
                <w:szCs w:val="2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45"/>
              <w:jc w:val="center"/>
              <w:widowControl w:val="off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45"/>
              <w:ind w:firstLine="851"/>
              <w:jc w:val="center"/>
              <w:widowControl w:val="off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5"/>
              <w:jc w:val="center"/>
              <w:widowControl w:val="off"/>
            </w:pPr>
            <w:r>
              <w:rPr>
                <w:sz w:val="20"/>
                <w:szCs w:val="20"/>
              </w:rPr>
              <w:t xml:space="preserve">Начальник Управления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5"/>
              <w:ind w:firstLine="180"/>
              <w:jc w:val="center"/>
              <w:widowControl w:val="off"/>
            </w:pPr>
            <w:r>
              <w:rPr>
                <w:sz w:val="20"/>
                <w:szCs w:val="20"/>
              </w:rPr>
              <w:t xml:space="preserve">______________________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45"/>
              <w:ind w:firstLine="60"/>
              <w:jc w:val="center"/>
              <w:widowControl w:val="off"/>
              <w:tabs>
                <w:tab w:val="clear" w:pos="708" w:leader="none"/>
                <w:tab w:val="left" w:pos="1832" w:leader="none"/>
              </w:tabs>
            </w:pPr>
            <w:r>
              <w:rPr>
                <w:sz w:val="20"/>
                <w:szCs w:val="20"/>
              </w:rPr>
              <w:t xml:space="preserve">___________________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45"/>
        <w:jc w:val="both"/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/>
    </w:p>
    <w:p>
      <w:pPr>
        <w:pStyle w:val="745"/>
        <w:rPr>
          <w:rFonts w:ascii="Liberation Serif" w:hAnsi="Liberation Serif"/>
          <w:b/>
          <w:bCs/>
          <w:color w:val="ff0000"/>
          <w:sz w:val="20"/>
          <w:szCs w:val="20"/>
        </w:rPr>
      </w:pPr>
      <w:r>
        <w:rPr>
          <w:rFonts w:ascii="Liberation Serif" w:hAnsi="Liberation Serif"/>
          <w:b/>
          <w:bCs/>
          <w:color w:val="ff0000"/>
          <w:sz w:val="20"/>
          <w:szCs w:val="20"/>
        </w:rPr>
      </w:r>
      <w:r>
        <w:rPr>
          <w:rFonts w:ascii="Liberation Serif" w:hAnsi="Liberation Serif"/>
          <w:b/>
          <w:bCs/>
          <w:color w:val="ff0000"/>
          <w:sz w:val="20"/>
          <w:szCs w:val="20"/>
        </w:rPr>
      </w:r>
      <w:r>
        <w:rPr>
          <w:rFonts w:ascii="Liberation Serif" w:hAnsi="Liberation Serif"/>
          <w:b/>
          <w:bCs/>
          <w:color w:val="ff0000"/>
          <w:sz w:val="20"/>
          <w:szCs w:val="20"/>
        </w:rPr>
      </w:r>
    </w:p>
    <w:p>
      <w:pPr>
        <w:pStyle w:val="745"/>
      </w:pPr>
      <w:r/>
      <w:r/>
    </w:p>
    <w:sectPr>
      <w:footnotePr>
        <w:numFmt w:val="decimal"/>
      </w:footnotePr>
      <w:endnotePr/>
      <w:type w:val="nextPage"/>
      <w:pgSz w:w="11906" w:h="16838" w:orient="portrait"/>
      <w:pgMar w:top="425" w:right="707" w:bottom="1248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16"/>
        <w:contextualSpacing/>
        <w:jc w:val="both"/>
        <w:spacing w:before="0" w:after="0" w:line="216" w:lineRule="auto"/>
      </w:pPr>
      <w:r>
        <w:rPr>
          <w:rStyle w:val="781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45"/>
        <w:jc w:val="both"/>
      </w:pPr>
      <w:r>
        <w:rPr>
          <w:rStyle w:val="781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16"/>
        <w:contextualSpacing/>
        <w:jc w:val="both"/>
        <w:spacing w:before="0" w:after="0" w:line="216" w:lineRule="auto"/>
      </w:pPr>
      <w:r>
        <w:rPr>
          <w:rStyle w:val="781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16"/>
        <w:contextualSpacing/>
        <w:jc w:val="both"/>
        <w:spacing w:before="0" w:after="0" w:line="216" w:lineRule="auto"/>
      </w:pPr>
      <w:r>
        <w:rPr>
          <w:rStyle w:val="781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Heading 1 Char"/>
    <w:basedOn w:val="755"/>
    <w:link w:val="746"/>
    <w:uiPriority w:val="9"/>
    <w:rPr>
      <w:rFonts w:ascii="Arial" w:hAnsi="Arial" w:eastAsia="Arial" w:cs="Arial"/>
      <w:sz w:val="40"/>
      <w:szCs w:val="40"/>
    </w:rPr>
  </w:style>
  <w:style w:type="character" w:styleId="731">
    <w:name w:val="Heading 2 Char"/>
    <w:basedOn w:val="755"/>
    <w:link w:val="747"/>
    <w:uiPriority w:val="9"/>
    <w:rPr>
      <w:rFonts w:ascii="Arial" w:hAnsi="Arial" w:eastAsia="Arial" w:cs="Arial"/>
      <w:sz w:val="34"/>
    </w:rPr>
  </w:style>
  <w:style w:type="character" w:styleId="732">
    <w:name w:val="Heading 3 Char"/>
    <w:basedOn w:val="755"/>
    <w:link w:val="748"/>
    <w:uiPriority w:val="9"/>
    <w:rPr>
      <w:rFonts w:ascii="Arial" w:hAnsi="Arial" w:eastAsia="Arial" w:cs="Arial"/>
      <w:sz w:val="30"/>
      <w:szCs w:val="30"/>
    </w:rPr>
  </w:style>
  <w:style w:type="character" w:styleId="733">
    <w:name w:val="Heading 4 Char"/>
    <w:basedOn w:val="755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34">
    <w:name w:val="Heading 5 Char"/>
    <w:basedOn w:val="755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35">
    <w:name w:val="Heading 6 Char"/>
    <w:basedOn w:val="755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36">
    <w:name w:val="Heading 7 Char"/>
    <w:basedOn w:val="755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8 Char"/>
    <w:basedOn w:val="755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38">
    <w:name w:val="Heading 9 Char"/>
    <w:basedOn w:val="755"/>
    <w:link w:val="754"/>
    <w:uiPriority w:val="9"/>
    <w:rPr>
      <w:rFonts w:ascii="Arial" w:hAnsi="Arial" w:eastAsia="Arial" w:cs="Arial"/>
      <w:i/>
      <w:iCs/>
      <w:sz w:val="21"/>
      <w:szCs w:val="21"/>
    </w:rPr>
  </w:style>
  <w:style w:type="character" w:styleId="739">
    <w:name w:val="Title Char"/>
    <w:basedOn w:val="755"/>
    <w:link w:val="790"/>
    <w:uiPriority w:val="10"/>
    <w:rPr>
      <w:sz w:val="48"/>
      <w:szCs w:val="48"/>
    </w:rPr>
  </w:style>
  <w:style w:type="character" w:styleId="740">
    <w:name w:val="Subtitle Char"/>
    <w:basedOn w:val="755"/>
    <w:link w:val="791"/>
    <w:uiPriority w:val="11"/>
    <w:rPr>
      <w:sz w:val="24"/>
      <w:szCs w:val="24"/>
    </w:rPr>
  </w:style>
  <w:style w:type="character" w:styleId="741">
    <w:name w:val="Quote Char"/>
    <w:link w:val="792"/>
    <w:uiPriority w:val="29"/>
    <w:rPr>
      <w:i/>
    </w:rPr>
  </w:style>
  <w:style w:type="character" w:styleId="742">
    <w:name w:val="Intense Quote Char"/>
    <w:link w:val="793"/>
    <w:uiPriority w:val="30"/>
    <w:rPr>
      <w:i/>
    </w:rPr>
  </w:style>
  <w:style w:type="character" w:styleId="743">
    <w:name w:val="Endnote Text Char"/>
    <w:link w:val="795"/>
    <w:uiPriority w:val="99"/>
    <w:rPr>
      <w:sz w:val="20"/>
    </w:rPr>
  </w:style>
  <w:style w:type="paragraph" w:styleId="744">
    <w:name w:val="toc 2"/>
    <w:basedOn w:val="745"/>
    <w:next w:val="745"/>
    <w:uiPriority w:val="39"/>
    <w:unhideWhenUsed/>
    <w:pPr>
      <w:ind w:left="283" w:right="0" w:firstLine="0"/>
      <w:spacing w:after="57"/>
    </w:pPr>
  </w:style>
  <w:style w:type="paragraph" w:styleId="745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46">
    <w:name w:val="Heading 1"/>
    <w:basedOn w:val="745"/>
    <w:next w:val="745"/>
    <w:link w:val="8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7">
    <w:name w:val="Heading 2"/>
    <w:basedOn w:val="745"/>
    <w:next w:val="745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8">
    <w:name w:val="Heading 3"/>
    <w:basedOn w:val="745"/>
    <w:next w:val="745"/>
    <w:link w:val="8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9">
    <w:name w:val="Heading 4"/>
    <w:basedOn w:val="745"/>
    <w:next w:val="745"/>
    <w:link w:val="8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745"/>
    <w:next w:val="745"/>
    <w:link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1">
    <w:name w:val="Heading 6"/>
    <w:basedOn w:val="745"/>
    <w:next w:val="745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745"/>
    <w:next w:val="745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745"/>
    <w:next w:val="745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745"/>
    <w:next w:val="745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 w:default="1">
    <w:name w:val="Default Paragraph Font"/>
    <w:uiPriority w:val="1"/>
    <w:semiHidden/>
    <w:unhideWhenUsed/>
    <w:qFormat/>
  </w:style>
  <w:style w:type="character" w:styleId="756" w:customStyle="1">
    <w:name w:val="Заголовок 2 Знак"/>
    <w:basedOn w:val="755"/>
    <w:uiPriority w:val="9"/>
    <w:qFormat/>
    <w:rPr>
      <w:rFonts w:ascii="Arial" w:hAnsi="Arial" w:eastAsia="Arial" w:cs="Arial"/>
      <w:sz w:val="34"/>
    </w:rPr>
  </w:style>
  <w:style w:type="character" w:styleId="757" w:customStyle="1">
    <w:name w:val="Заголовок 6 Знак"/>
    <w:basedOn w:val="75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basedOn w:val="75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basedOn w:val="75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basedOn w:val="75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1" w:customStyle="1">
    <w:name w:val="Заголовок Знак"/>
    <w:basedOn w:val="755"/>
    <w:uiPriority w:val="10"/>
    <w:qFormat/>
    <w:rPr>
      <w:sz w:val="48"/>
      <w:szCs w:val="48"/>
    </w:rPr>
  </w:style>
  <w:style w:type="character" w:styleId="762" w:customStyle="1">
    <w:name w:val="Подзаголовок Знак"/>
    <w:basedOn w:val="755"/>
    <w:uiPriority w:val="11"/>
    <w:qFormat/>
    <w:rPr>
      <w:sz w:val="24"/>
      <w:szCs w:val="24"/>
    </w:rPr>
  </w:style>
  <w:style w:type="character" w:styleId="763" w:customStyle="1">
    <w:name w:val="Цитата 2 Знак"/>
    <w:link w:val="792"/>
    <w:uiPriority w:val="29"/>
    <w:qFormat/>
    <w:rPr>
      <w:i/>
    </w:rPr>
  </w:style>
  <w:style w:type="character" w:styleId="764" w:customStyle="1">
    <w:name w:val="Выделенная цитата Знак"/>
    <w:link w:val="793"/>
    <w:uiPriority w:val="30"/>
    <w:qFormat/>
    <w:rPr>
      <w:i/>
    </w:rPr>
  </w:style>
  <w:style w:type="character" w:styleId="765" w:customStyle="1">
    <w:name w:val="Header Char"/>
    <w:basedOn w:val="755"/>
    <w:uiPriority w:val="99"/>
    <w:qFormat/>
  </w:style>
  <w:style w:type="character" w:styleId="766" w:customStyle="1">
    <w:name w:val="Footer Char"/>
    <w:basedOn w:val="755"/>
    <w:uiPriority w:val="99"/>
    <w:qFormat/>
  </w:style>
  <w:style w:type="character" w:styleId="767" w:customStyle="1">
    <w:name w:val="Caption Char"/>
    <w:uiPriority w:val="99"/>
    <w:qFormat/>
  </w:style>
  <w:style w:type="character" w:styleId="768" w:customStyle="1">
    <w:name w:val="Footnote Text Char"/>
    <w:uiPriority w:val="99"/>
    <w:qFormat/>
    <w:rPr>
      <w:sz w:val="18"/>
    </w:rPr>
  </w:style>
  <w:style w:type="character" w:styleId="769" w:customStyle="1">
    <w:name w:val="Текст концевой сноски Знак"/>
    <w:uiPriority w:val="99"/>
    <w:qFormat/>
    <w:rPr>
      <w:sz w:val="20"/>
    </w:rPr>
  </w:style>
  <w:style w:type="character" w:styleId="770">
    <w:name w:val="Символ концевой сноски"/>
    <w:basedOn w:val="755"/>
    <w:uiPriority w:val="99"/>
    <w:semiHidden/>
    <w:unhideWhenUsed/>
    <w:qFormat/>
    <w:rPr>
      <w:vertAlign w:val="superscript"/>
    </w:rPr>
  </w:style>
  <w:style w:type="character" w:styleId="771">
    <w:name w:val="endnote reference"/>
    <w:rPr>
      <w:vertAlign w:val="superscript"/>
    </w:rPr>
  </w:style>
  <w:style w:type="character" w:styleId="772">
    <w:name w:val="FollowedHyperlink"/>
    <w:basedOn w:val="755"/>
    <w:uiPriority w:val="99"/>
    <w:unhideWhenUsed/>
    <w:qFormat/>
    <w:rPr>
      <w:color w:val="800080"/>
      <w:u w:val="single"/>
    </w:rPr>
  </w:style>
  <w:style w:type="character" w:styleId="773">
    <w:name w:val="Hyperlink"/>
    <w:basedOn w:val="755"/>
    <w:uiPriority w:val="99"/>
    <w:unhideWhenUsed/>
    <w:qFormat/>
    <w:rPr>
      <w:color w:val="0000ff"/>
      <w:u w:val="single"/>
    </w:rPr>
  </w:style>
  <w:style w:type="character" w:styleId="774">
    <w:name w:val="Strong"/>
    <w:basedOn w:val="755"/>
    <w:qFormat/>
    <w:rPr>
      <w:rFonts w:cs="Times New Roman"/>
      <w:b/>
      <w:bCs/>
    </w:rPr>
  </w:style>
  <w:style w:type="character" w:styleId="775" w:customStyle="1">
    <w:name w:val="Верхний колонтитул Знак"/>
    <w:basedOn w:val="75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76" w:customStyle="1">
    <w:name w:val="Нижний колонтитул Знак"/>
    <w:basedOn w:val="75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77" w:customStyle="1">
    <w:name w:val="10"/>
    <w:basedOn w:val="755"/>
    <w:qFormat/>
    <w:rPr>
      <w:rFonts w:ascii="Times New Roman" w:hAnsi="Times New Roman" w:cs="Times New Roman"/>
    </w:rPr>
  </w:style>
  <w:style w:type="character" w:styleId="778" w:customStyle="1">
    <w:name w:val="15"/>
    <w:basedOn w:val="755"/>
    <w:qFormat/>
    <w:rPr>
      <w:rFonts w:ascii="Times New Roman" w:hAnsi="Times New Roman" w:cs="Times New Roman"/>
      <w:color w:val="0000ff"/>
      <w:u w:val="single"/>
    </w:rPr>
  </w:style>
  <w:style w:type="character" w:styleId="779" w:customStyle="1">
    <w:name w:val="16"/>
    <w:basedOn w:val="755"/>
    <w:qFormat/>
    <w:rPr>
      <w:rFonts w:ascii="Times New Roman" w:hAnsi="Times New Roman" w:cs="Times New Roman"/>
    </w:rPr>
  </w:style>
  <w:style w:type="character" w:styleId="780" w:customStyle="1">
    <w:name w:val="rts-text"/>
    <w:basedOn w:val="755"/>
    <w:qFormat/>
  </w:style>
  <w:style w:type="character" w:styleId="781">
    <w:name w:val="Символ сноски"/>
    <w:qFormat/>
    <w:rPr>
      <w:vertAlign w:val="superscript"/>
    </w:rPr>
  </w:style>
  <w:style w:type="character" w:styleId="782">
    <w:name w:val="footnote reference"/>
    <w:rPr>
      <w:vertAlign w:val="superscript"/>
    </w:rPr>
  </w:style>
  <w:style w:type="character" w:styleId="783" w:customStyle="1">
    <w:name w:val="Текст сноски Знак"/>
    <w:basedOn w:val="755"/>
    <w:qFormat/>
    <w:rPr>
      <w:rFonts w:ascii="Times New Roman" w:hAnsi="Times New Roman" w:eastAsia="Times New Roman" w:cs="Times New Roman"/>
      <w:lang w:eastAsia="zh-CN"/>
    </w:rPr>
  </w:style>
  <w:style w:type="character" w:styleId="784" w:customStyle="1">
    <w:name w:val="Текст выноски Знак"/>
    <w:basedOn w:val="755"/>
    <w:link w:val="817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85">
    <w:name w:val="Заголовок"/>
    <w:basedOn w:val="745"/>
    <w:next w:val="78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86">
    <w:name w:val="Body Text"/>
    <w:basedOn w:val="745"/>
    <w:pPr>
      <w:spacing w:before="0" w:after="140" w:line="276" w:lineRule="auto"/>
    </w:pPr>
  </w:style>
  <w:style w:type="paragraph" w:styleId="787">
    <w:name w:val="List"/>
    <w:basedOn w:val="786"/>
    <w:rPr>
      <w:rFonts w:cs="Mangal"/>
    </w:rPr>
  </w:style>
  <w:style w:type="paragraph" w:styleId="788">
    <w:name w:val="Caption"/>
    <w:basedOn w:val="745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89">
    <w:name w:val="Указатель"/>
    <w:basedOn w:val="745"/>
    <w:qFormat/>
    <w:pPr>
      <w:suppressLineNumbers/>
    </w:pPr>
    <w:rPr>
      <w:rFonts w:cs="Mangal"/>
    </w:rPr>
  </w:style>
  <w:style w:type="paragraph" w:styleId="790">
    <w:name w:val="Title"/>
    <w:basedOn w:val="745"/>
    <w:next w:val="745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1">
    <w:name w:val="Subtitle"/>
    <w:basedOn w:val="745"/>
    <w:next w:val="745"/>
    <w:link w:val="762"/>
    <w:uiPriority w:val="11"/>
    <w:qFormat/>
    <w:pPr>
      <w:spacing w:before="200" w:after="200"/>
    </w:pPr>
  </w:style>
  <w:style w:type="paragraph" w:styleId="792">
    <w:name w:val="Quote"/>
    <w:basedOn w:val="745"/>
    <w:next w:val="745"/>
    <w:link w:val="763"/>
    <w:uiPriority w:val="29"/>
    <w:qFormat/>
    <w:pPr>
      <w:ind w:left="720" w:right="720" w:firstLine="0"/>
    </w:pPr>
    <w:rPr>
      <w:i/>
    </w:rPr>
  </w:style>
  <w:style w:type="paragraph" w:styleId="793">
    <w:name w:val="Intense Quote"/>
    <w:basedOn w:val="745"/>
    <w:next w:val="745"/>
    <w:link w:val="76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94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95">
    <w:name w:val="endnote text"/>
    <w:basedOn w:val="745"/>
    <w:link w:val="769"/>
    <w:uiPriority w:val="99"/>
    <w:semiHidden/>
    <w:unhideWhenUsed/>
    <w:rPr>
      <w:sz w:val="20"/>
    </w:rPr>
  </w:style>
  <w:style w:type="paragraph" w:styleId="796">
    <w:name w:val="toc 1"/>
    <w:basedOn w:val="745"/>
    <w:next w:val="745"/>
    <w:uiPriority w:val="39"/>
    <w:unhideWhenUsed/>
    <w:pPr>
      <w:spacing w:before="0" w:after="57"/>
    </w:pPr>
  </w:style>
  <w:style w:type="paragraph" w:styleId="797">
    <w:name w:val="toc 3"/>
    <w:basedOn w:val="745"/>
    <w:next w:val="745"/>
    <w:uiPriority w:val="39"/>
    <w:unhideWhenUsed/>
    <w:pPr>
      <w:ind w:left="567" w:firstLine="0"/>
      <w:spacing w:before="0" w:after="57"/>
    </w:pPr>
  </w:style>
  <w:style w:type="paragraph" w:styleId="798">
    <w:name w:val="toc 4"/>
    <w:basedOn w:val="745"/>
    <w:next w:val="745"/>
    <w:uiPriority w:val="39"/>
    <w:unhideWhenUsed/>
    <w:pPr>
      <w:ind w:left="850" w:firstLine="0"/>
      <w:spacing w:before="0" w:after="57"/>
    </w:pPr>
  </w:style>
  <w:style w:type="paragraph" w:styleId="799">
    <w:name w:val="toc 5"/>
    <w:basedOn w:val="745"/>
    <w:next w:val="745"/>
    <w:uiPriority w:val="39"/>
    <w:unhideWhenUsed/>
    <w:pPr>
      <w:ind w:left="1134" w:firstLine="0"/>
      <w:spacing w:before="0" w:after="57"/>
    </w:pPr>
  </w:style>
  <w:style w:type="paragraph" w:styleId="800">
    <w:name w:val="toc 6"/>
    <w:basedOn w:val="745"/>
    <w:next w:val="745"/>
    <w:uiPriority w:val="39"/>
    <w:unhideWhenUsed/>
    <w:pPr>
      <w:ind w:left="1417" w:firstLine="0"/>
      <w:spacing w:before="0" w:after="57"/>
    </w:pPr>
  </w:style>
  <w:style w:type="paragraph" w:styleId="801">
    <w:name w:val="toc 7"/>
    <w:basedOn w:val="745"/>
    <w:next w:val="745"/>
    <w:uiPriority w:val="39"/>
    <w:unhideWhenUsed/>
    <w:pPr>
      <w:ind w:left="1701" w:firstLine="0"/>
      <w:spacing w:before="0" w:after="57"/>
    </w:pPr>
  </w:style>
  <w:style w:type="paragraph" w:styleId="802">
    <w:name w:val="toc 8"/>
    <w:basedOn w:val="745"/>
    <w:next w:val="745"/>
    <w:uiPriority w:val="39"/>
    <w:unhideWhenUsed/>
    <w:pPr>
      <w:ind w:left="1984" w:firstLine="0"/>
      <w:spacing w:before="0" w:after="57"/>
    </w:pPr>
  </w:style>
  <w:style w:type="paragraph" w:styleId="803">
    <w:name w:val="toc 9"/>
    <w:basedOn w:val="745"/>
    <w:next w:val="745"/>
    <w:uiPriority w:val="39"/>
    <w:unhideWhenUsed/>
    <w:pPr>
      <w:ind w:left="2268" w:firstLine="0"/>
      <w:spacing w:before="0" w:after="57"/>
    </w:pPr>
  </w:style>
  <w:style w:type="paragraph" w:styleId="804">
    <w:name w:val="Index Heading"/>
    <w:basedOn w:val="785"/>
  </w:style>
  <w:style w:type="paragraph" w:styleId="805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06">
    <w:name w:val="table of figures"/>
    <w:basedOn w:val="745"/>
    <w:next w:val="745"/>
    <w:uiPriority w:val="99"/>
    <w:unhideWhenUsed/>
    <w:qFormat/>
  </w:style>
  <w:style w:type="paragraph" w:styleId="807">
    <w:name w:val="Body Text Indent 3"/>
    <w:basedOn w:val="745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08">
    <w:name w:val="Колонтитул"/>
    <w:basedOn w:val="745"/>
    <w:qFormat/>
  </w:style>
  <w:style w:type="paragraph" w:styleId="809">
    <w:name w:val="Header"/>
    <w:basedOn w:val="745"/>
    <w:link w:val="775"/>
    <w:uiPriority w:val="99"/>
    <w:unhideWhenUsed/>
    <w:qFormat/>
  </w:style>
  <w:style w:type="paragraph" w:styleId="810">
    <w:name w:val="Footer"/>
    <w:basedOn w:val="745"/>
    <w:link w:val="776"/>
    <w:uiPriority w:val="99"/>
    <w:unhideWhenUsed/>
    <w:qFormat/>
  </w:style>
  <w:style w:type="paragraph" w:styleId="811">
    <w:name w:val="Normal (Web)"/>
    <w:basedOn w:val="745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2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3" w:customStyle="1">
    <w:name w:val="rezul"/>
    <w:basedOn w:val="745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14" w:customStyle="1">
    <w:name w:val="Заголов1"/>
    <w:basedOn w:val="745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15">
    <w:name w:val="List Paragraph"/>
    <w:basedOn w:val="745"/>
    <w:uiPriority w:val="99"/>
    <w:qFormat/>
    <w:pPr>
      <w:contextualSpacing/>
      <w:ind w:left="720" w:firstLine="0"/>
      <w:spacing w:before="0" w:after="0"/>
    </w:pPr>
  </w:style>
  <w:style w:type="paragraph" w:styleId="816">
    <w:name w:val="footnote text"/>
    <w:basedOn w:val="745"/>
    <w:link w:val="783"/>
    <w:rPr>
      <w:sz w:val="20"/>
      <w:szCs w:val="20"/>
      <w:lang w:eastAsia="zh-CN"/>
    </w:rPr>
  </w:style>
  <w:style w:type="paragraph" w:styleId="817">
    <w:name w:val="Balloon Text"/>
    <w:basedOn w:val="745"/>
    <w:link w:val="784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18" w:default="1">
    <w:name w:val="No List"/>
    <w:uiPriority w:val="99"/>
    <w:semiHidden/>
    <w:unhideWhenUsed/>
    <w:qFormat/>
  </w:style>
  <w:style w:type="table" w:styleId="81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Table Grid Light"/>
    <w:basedOn w:val="8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1">
    <w:name w:val="Plain Table 1"/>
    <w:basedOn w:val="8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2">
    <w:name w:val="Plain Table 2"/>
    <w:basedOn w:val="81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3">
    <w:name w:val="Plain Table 3"/>
    <w:basedOn w:val="81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4">
    <w:name w:val="Plain Table 4"/>
    <w:basedOn w:val="81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Plain Table 5"/>
    <w:basedOn w:val="81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>
    <w:name w:val="Grid Table 1 Light"/>
    <w:basedOn w:val="81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1"/>
    <w:basedOn w:val="8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2"/>
    <w:basedOn w:val="8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3"/>
    <w:basedOn w:val="8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4"/>
    <w:basedOn w:val="8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5"/>
    <w:basedOn w:val="8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6"/>
    <w:basedOn w:val="8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2"/>
    <w:basedOn w:val="8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1"/>
    <w:basedOn w:val="8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2"/>
    <w:basedOn w:val="8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3"/>
    <w:basedOn w:val="8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4"/>
    <w:basedOn w:val="8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5"/>
    <w:basedOn w:val="8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6"/>
    <w:basedOn w:val="8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"/>
    <w:basedOn w:val="8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1"/>
    <w:basedOn w:val="8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2"/>
    <w:basedOn w:val="8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3"/>
    <w:basedOn w:val="8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4"/>
    <w:basedOn w:val="8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5"/>
    <w:basedOn w:val="8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6"/>
    <w:basedOn w:val="8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4"/>
    <w:basedOn w:val="81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8" w:customStyle="1">
    <w:name w:val="Grid Table 4 - Accent 1"/>
    <w:basedOn w:val="81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49" w:customStyle="1">
    <w:name w:val="Grid Table 4 - Accent 2"/>
    <w:basedOn w:val="81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0" w:customStyle="1">
    <w:name w:val="Grid Table 4 - Accent 3"/>
    <w:basedOn w:val="81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1" w:customStyle="1">
    <w:name w:val="Grid Table 4 - Accent 4"/>
    <w:basedOn w:val="81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2" w:customStyle="1">
    <w:name w:val="Grid Table 4 - Accent 5"/>
    <w:basedOn w:val="81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3" w:customStyle="1">
    <w:name w:val="Grid Table 4 - Accent 6"/>
    <w:basedOn w:val="81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4">
    <w:name w:val="Grid Table 5 Dark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- Accent 1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2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3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- Accent 4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5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6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1">
    <w:name w:val="Grid Table 6 Colorful"/>
    <w:basedOn w:val="81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2" w:customStyle="1">
    <w:name w:val="Grid Table 6 Colorful - Accent 1"/>
    <w:basedOn w:val="81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3" w:customStyle="1">
    <w:name w:val="Grid Table 6 Colorful - Accent 2"/>
    <w:basedOn w:val="8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4" w:customStyle="1">
    <w:name w:val="Grid Table 6 Colorful - Accent 3"/>
    <w:basedOn w:val="81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5" w:customStyle="1">
    <w:name w:val="Grid Table 6 Colorful - Accent 4"/>
    <w:basedOn w:val="8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6" w:customStyle="1">
    <w:name w:val="Grid Table 6 Colorful - Accent 5"/>
    <w:basedOn w:val="81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7" w:customStyle="1">
    <w:name w:val="Grid Table 6 Colorful - Accent 6"/>
    <w:basedOn w:val="81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8">
    <w:name w:val="Grid Table 7 Colorful"/>
    <w:basedOn w:val="81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Grid Table 7 Colorful - Accent 1"/>
    <w:basedOn w:val="81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2"/>
    <w:basedOn w:val="81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Grid Table 7 Colorful - Accent 3"/>
    <w:basedOn w:val="81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Grid Table 7 Colorful - Accent 4"/>
    <w:basedOn w:val="81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Grid Table 7 Colorful - Accent 5"/>
    <w:basedOn w:val="81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6"/>
    <w:basedOn w:val="81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>
    <w:name w:val="List Table 1 Light"/>
    <w:basedOn w:val="81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1"/>
    <w:basedOn w:val="81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2"/>
    <w:basedOn w:val="81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3"/>
    <w:basedOn w:val="81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4"/>
    <w:basedOn w:val="81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5"/>
    <w:basedOn w:val="81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6"/>
    <w:basedOn w:val="81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2"/>
    <w:basedOn w:val="81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3" w:customStyle="1">
    <w:name w:val="List Table 2 - Accent 1"/>
    <w:basedOn w:val="81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84" w:customStyle="1">
    <w:name w:val="List Table 2 - Accent 2"/>
    <w:basedOn w:val="81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85" w:customStyle="1">
    <w:name w:val="List Table 2 - Accent 3"/>
    <w:basedOn w:val="81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86" w:customStyle="1">
    <w:name w:val="List Table 2 - Accent 4"/>
    <w:basedOn w:val="81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87" w:customStyle="1">
    <w:name w:val="List Table 2 - Accent 5"/>
    <w:basedOn w:val="81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88" w:customStyle="1">
    <w:name w:val="List Table 2 - Accent 6"/>
    <w:basedOn w:val="81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89">
    <w:name w:val="List Table 3"/>
    <w:basedOn w:val="8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1"/>
    <w:basedOn w:val="81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2"/>
    <w:basedOn w:val="8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3"/>
    <w:basedOn w:val="81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4"/>
    <w:basedOn w:val="8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5"/>
    <w:basedOn w:val="81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6"/>
    <w:basedOn w:val="81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"/>
    <w:basedOn w:val="8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1"/>
    <w:basedOn w:val="81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2"/>
    <w:basedOn w:val="81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3"/>
    <w:basedOn w:val="81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4"/>
    <w:basedOn w:val="81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5"/>
    <w:basedOn w:val="81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6"/>
    <w:basedOn w:val="81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5 Dark"/>
    <w:basedOn w:val="81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4" w:customStyle="1">
    <w:name w:val="List Table 5 Dark - Accent 1"/>
    <w:basedOn w:val="81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5" w:customStyle="1">
    <w:name w:val="List Table 5 Dark - Accent 2"/>
    <w:basedOn w:val="81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6" w:customStyle="1">
    <w:name w:val="List Table 5 Dark - Accent 3"/>
    <w:basedOn w:val="81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7" w:customStyle="1">
    <w:name w:val="List Table 5 Dark - Accent 4"/>
    <w:basedOn w:val="81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8" w:customStyle="1">
    <w:name w:val="List Table 5 Dark - Accent 5"/>
    <w:basedOn w:val="81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9" w:customStyle="1">
    <w:name w:val="List Table 5 Dark - Accent 6"/>
    <w:basedOn w:val="81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>
    <w:name w:val="List Table 6 Colorful"/>
    <w:basedOn w:val="81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1" w:customStyle="1">
    <w:name w:val="List Table 6 Colorful - Accent 1"/>
    <w:basedOn w:val="81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2" w:customStyle="1">
    <w:name w:val="List Table 6 Colorful - Accent 2"/>
    <w:basedOn w:val="81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3" w:customStyle="1">
    <w:name w:val="List Table 6 Colorful - Accent 3"/>
    <w:basedOn w:val="81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14" w:customStyle="1">
    <w:name w:val="List Table 6 Colorful - Accent 4"/>
    <w:basedOn w:val="81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15" w:customStyle="1">
    <w:name w:val="List Table 6 Colorful - Accent 5"/>
    <w:basedOn w:val="81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16" w:customStyle="1">
    <w:name w:val="List Table 6 Colorful - Accent 6"/>
    <w:basedOn w:val="81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17">
    <w:name w:val="List Table 7 Colorful"/>
    <w:basedOn w:val="81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st Table 7 Colorful - Accent 1"/>
    <w:basedOn w:val="81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2"/>
    <w:basedOn w:val="81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st Table 7 Colorful - Accent 3"/>
    <w:basedOn w:val="81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st Table 7 Colorful - Accent 4"/>
    <w:basedOn w:val="81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List Table 7 Colorful - Accent 5"/>
    <w:basedOn w:val="81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6"/>
    <w:basedOn w:val="81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ned - Accent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25" w:customStyle="1">
    <w:name w:val="Lined - Accent 1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26" w:customStyle="1">
    <w:name w:val="Lined - Accent 2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7" w:customStyle="1">
    <w:name w:val="Lined - Accent 3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8" w:customStyle="1">
    <w:name w:val="Lined - Accent 4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9" w:customStyle="1">
    <w:name w:val="Lined - Accent 5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0" w:customStyle="1">
    <w:name w:val="Lined - Accent 6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1" w:customStyle="1">
    <w:name w:val="Bordered &amp; Lined - Accent"/>
    <w:basedOn w:val="81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2" w:customStyle="1">
    <w:name w:val="Bordered &amp; Lined - Accent 1"/>
    <w:basedOn w:val="81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3" w:customStyle="1">
    <w:name w:val="Bordered &amp; Lined - Accent 2"/>
    <w:basedOn w:val="81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4" w:customStyle="1">
    <w:name w:val="Bordered &amp; Lined - Accent 3"/>
    <w:basedOn w:val="81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5" w:customStyle="1">
    <w:name w:val="Bordered &amp; Lined - Accent 4"/>
    <w:basedOn w:val="81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6" w:customStyle="1">
    <w:name w:val="Bordered &amp; Lined - Accent 5"/>
    <w:basedOn w:val="81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7" w:customStyle="1">
    <w:name w:val="Bordered &amp; Lined - Accent 6"/>
    <w:basedOn w:val="81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8" w:customStyle="1">
    <w:name w:val="Bordered"/>
    <w:basedOn w:val="81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39" w:customStyle="1">
    <w:name w:val="Bordered - Accent 1"/>
    <w:basedOn w:val="8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0" w:customStyle="1">
    <w:name w:val="Bordered - Accent 2"/>
    <w:basedOn w:val="8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1" w:customStyle="1">
    <w:name w:val="Bordered - Accent 3"/>
    <w:basedOn w:val="8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2" w:customStyle="1">
    <w:name w:val="Bordered - Accent 4"/>
    <w:basedOn w:val="8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3" w:customStyle="1">
    <w:name w:val="Bordered - Accent 5"/>
    <w:basedOn w:val="8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44" w:customStyle="1">
    <w:name w:val="Bordered - Accent 6"/>
    <w:basedOn w:val="8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45">
    <w:name w:val="Table Grid"/>
    <w:basedOn w:val="819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41</cp:revision>
  <dcterms:created xsi:type="dcterms:W3CDTF">2023-10-31T06:24:00Z</dcterms:created>
  <dcterms:modified xsi:type="dcterms:W3CDTF">2024-09-12T14:23:35Z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