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bCs/>
          <w:i/>
        </w:rPr>
      </w:pPr>
      <w:r>
        <w:rPr>
          <w:bCs/>
          <w:i/>
        </w:rPr>
        <w:t xml:space="preserve">от _________________ № _______</w:t>
      </w:r>
      <w:r>
        <w:rPr>
          <w:bCs/>
          <w:i/>
        </w:rPr>
      </w:r>
      <w:r>
        <w:rPr>
          <w:bCs/>
          <w:i/>
        </w:rPr>
      </w:r>
    </w:p>
    <w:p>
      <w:pPr>
        <w:pStyle w:val="751"/>
        <w:ind w:left="5245" w:firstLine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20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ИЗВЕЩЕНИЕ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20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 проведении аукциона на право заключения договора аренды земельного участка, расположенного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на территории города Костромы, государственная собственность на который не разграничена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left"/>
        <w:spacing w:before="0" w:after="0" w:line="289" w:lineRule="atLeast"/>
        <w:rPr>
          <w:rFonts w:ascii="Times New Roman" w:hAnsi="Times New Roman" w:cs="Times New Roman"/>
          <w:b/>
          <w:i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i/>
          <w:positio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position w:val="0"/>
          <w:sz w:val="22"/>
          <w:szCs w:val="22"/>
        </w:rPr>
      </w:r>
      <w:r>
        <w:rPr>
          <w:rFonts w:ascii="Times New Roman" w:hAnsi="Times New Roman" w:cs="Times New Roman"/>
          <w:b/>
          <w:i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14 января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202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5 года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аукциона на право заключения договора аренды земельного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Форма торгов – электронный аукцион. 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2. Основание проведения аукциона – постановление Администрации города Костром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ы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16 февраля 2024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года №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259 «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О проведении аукцио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на на п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раво заключения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улица Деминская, земельный участок 4б»; 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решение Думы города Костромы от 1 марта 2017 года </w:t>
        <w:br/>
        <w:t xml:space="preserve">№ 22 «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О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б утверждении перечня муниципального имущества города Костромы,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»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Участниками аукциона могут быть: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.1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внесённые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), а также физические лица, внесённые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– индивидуальные предприниматели), крестьянские (фермерские) хо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зяйства, соответствующие критериям отнесения к субъектам малого и среднего предпринимательства в соответствии со статьей 4 Закона № 209-ФЗ, имеющие право на поддержку органами местного самоуправления в соответствии с частями 3, 5 статьи 14 Закона № 209-ФЗ;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.2. внесённые в Единый государственный реестр юридических лиц организации, образующие инфраструктуру поддержки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субъектов малого и среднего предпринимательства (за исключением указанных в статье 15 Закона № 209-ФЗ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4. Сведения о предмете аукциона: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</w:rPr>
        <w:t xml:space="preserve">Лот № 1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адрес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улица Деминская, земельный участок 4б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площадь: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5232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в.м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кадастровый номер: 44:27:061201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1365;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категория земель: земли населенных пунктов;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разрешенное использован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ие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производственная деятельность, тяжелая промышленность, автомобилестроительная промышленность, легкая промышленность, энергетика, пищевая промышленность, строительная промышленность, связь, склад, деловое управление, обеспечение внутреннего правопорядка, ко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ммунальное обслуживание, автомобильный транспорт, служебные гаражи, хранение автотранспорта, трубопроводный транспорт, объекты дорожного сервиса, научно-производственная деятельность, фармацевтическая промышленность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обременения и ограничения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участок расположен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в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подзонах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3);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</w:rPr>
        <w:t xml:space="preserve">раница зоны с особыми условиями использования территории ВЛ 0,4 кВ ТП № 334(ВЛ-0,4кВ от ТП-334 на ул.Деминская,2-Б), расположенной на территории Костромской области, Костромского района, г. Кострома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з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она с особыми условиями использования территории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 реестровым номером 44:27-6.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2930)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охранная зона газопровода – ввода к нежилому строению по адресу: г. Кострома, ул. Деминская, д. 2б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з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она с особыми условиями использования территории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 реестровым номером 44:27-6.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498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2)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охранная зона ВЛ 0,4 кВ ТП № 334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з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она с особыми условиями использования территории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 реестровым номером 44:27-6.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75)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включен в Перечень муниципального имущества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города Костромы, свободного от прав третьих лиц (за исключением права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хозяйственного ведения, права оперативного управления, а также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производственная деятельност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тяжелая промышленность: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автомобилестроительная промышленность: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легкая промышленность: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энергетика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пищевая промышленность: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строительная промышленность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связь: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склад: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деловое управление: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обеспечение внутреннего правопорядка: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коммунальное обслуживание: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1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автомобильный транспорт: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служебные гаражи: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хранение автотранспорта: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100;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трубопроводный транспорт: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100;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объекты дорожного сервиса: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50; предельная высота здания - 10.5 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научно-производственная деятель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ность: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фармацевтическая промышленность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0; предельное количество этажей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 минимальный отступ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- срок аренды земельного участка: 8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лет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8 месяц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</w:rPr>
        <w:t xml:space="preserve">ев;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Костромагорводоканал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06.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12.2023 № исх.02.11/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8620д, от 01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12.2023 № исх.02.11/8523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д;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06.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12.2023 №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ИС-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15/2795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, теплоснабжение от ПАО «ТГК-2»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03.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11.2023 № исх.4201/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1847-2023;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МУП г. Костромы «Городские сети» от 01.02.2024 №13-01/00341;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начальный размер ежегодной арендной платы: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764 000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Семьсот шестьдесят четыре тысячи)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шаг аукциона: 22 920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(Двадцать две тысячи девятьсот двадцать)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размер задатка: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764 000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Семьсот шестьдесят четыре тысячи)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рублей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4. Организатор аукцио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5. Заявка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(Приложение 1)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на сайте </w:t>
      </w:r>
      <w:hyperlink r:id="rId9" w:tooltip="https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ителя.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К заявке на участие прилагаются следующие документы: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В случа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аявители декларируют свою принадлежность к субъектам малого и среднего предпринимате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от 24 июля 2007 год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а N 209-ФЗ "О развитии малого и среднего предпринимательства в Российской Федерации",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 w:eastAsia="Times New Roman" w:cs="Times New Roman"/>
          <w:bCs/>
          <w:position w:val="0"/>
          <w:sz w:val="22"/>
          <w:szCs w:val="22"/>
        </w:rPr>
        <w:t xml:space="preserve">на один ЛОТ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:lang w:eastAsia="ru-RU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Заявитель вправе не позднее даты и времени окончания приема заявок, указанных в извещении, отозвать заявку путем направления уведомления об отзыве заявки на электронную площадку.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ата и время начала подачи заявок: 2 декабря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 2024 года с 10 час 00 мин. по местному времени.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Дата и время окончания подачи заявок: 11 января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 2025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 года в 18 час 00 мин. по местному времени.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6.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www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 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i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rts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-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tender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 (ООО «РТС-тендер»)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а также на электронной площадке до даты окончания приема заявок на участие в продаже на официальных сайтах торгов 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7.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срок до даты рассмотрения заявок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 (не позднее: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:shd w:val="clear" w:color="auto" w:fill="ffffff"/>
        </w:rPr>
        <w:t xml:space="preserve">13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  <w:shd w:val="clear" w:color="auto" w:fill="ffffff"/>
        </w:rPr>
        <w:t xml:space="preserve"> января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shd w:val="clear" w:color="auto" w:fill="ffffff"/>
        </w:rPr>
        <w:t xml:space="preserve">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shd w:val="clear" w:color="auto" w:fill="ffffff"/>
        </w:rPr>
        <w:t xml:space="preserve">5 года 8 час. 00 мин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Получатель платежа: ООО «РТС-тендер»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Совкомбанк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»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БИК 044525360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Расчётный счёт: 40702810512030016362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Корр. счёт 30101810445250000360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ИНН 7710357167 КПП 773001001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Заявителя, не допущенного к участи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Участников, участвовавших в 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Задаток Победителя аукциона в электронной форме, а также задаток иных лиц, с которым договор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купли продажи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оплаты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за земельный участок. Перечисление задатка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Продавцу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в счет платы за 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купли-продажи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вследствие уклонения от заключения указанного договора, не возвращаются.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9. Вз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Федерации (далее – Кодекс) заключается договор купли-продажи земельного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участка, находящегося в государственной или муниципальной собственности, либо договор аренды такого участка,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1" w:tooltip="https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во вкладке ТАРИФЫ/ИМУЩЕСТВЕННЫЕ ТОРГИ.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10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есто, дата, время и порядок определения участников аукциона: 13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января 2025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 года в 10 час. 00 мин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. На электронной площадке </w:t>
      </w:r>
      <w:hyperlink r:id="rId12" w:tooltip="http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highlight w:val="white"/>
          </w:rPr>
          <w:t xml:space="preserve">www.rts-tend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highlight w:val="white"/>
          </w:rPr>
          <w:t xml:space="preserve">er.ru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(ООО «РТС-тендер»).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11.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Дата, место, время и порядок проведения аукциона: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14 января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2025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года в 10 час. 00 мин.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электронной площадке </w:t>
      </w:r>
      <w:hyperlink r:id="rId13" w:tooltip="https://www.rts-tender.ru/" w:history="1">
        <w:r>
          <w:rPr>
            <w:rFonts w:ascii="Times New Roman" w:hAnsi="Times New Roman" w:eastAsia="Times New Roman" w:cs="Times New Roman"/>
            <w:color w:val="0000ff"/>
            <w:position w:val="0"/>
            <w:sz w:val="22"/>
            <w:szCs w:val="22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 w:eastAsia="Times New Roman" w:cs="Times New Roman"/>
            <w:color w:val="0000ff"/>
            <w:position w:val="0"/>
            <w:sz w:val="22"/>
            <w:szCs w:val="22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в соответствии с регламентом электронной площадки.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 Победителем признается участник, предложивший в ходе аукциона наибольшую цену.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13. Задаток, внесённый лицом, признанным победителем аукциона, или иным лицом, с которым заключается договор аренды земельного участка, засчитывается в оплату приобретаемого земельного участка.  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14. Организатор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не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(Приложение 2).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15. Уполномоченный орган в течение пяти дней со дня истечения срока, пред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усмотренного пункт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ом 14, направляет победителю электронного аукциона или иным лицам, с которыми в соответствии с пунктами 13, 14, 20 и 25 статьи 39.12 Кодекса заключается договор аренды земельного участка, подписанный проект договора аренды такого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вора.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Победитель аукциона в электронной форме или иное лицо, с которым заключается договор аренды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в соответствии с Кодексом, обязаны подписать договор в течение 30 (тридцати) дней со дня направления им такого договора.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Если договор в течение 30 (тридцати) дней со дня направления проекта договора Победителю аукциона в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электронной форме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случае, если Победитель аукциона в электронной форме или иное лицо, с которым заключается договор в соответствии с пунктами Извещения, в течение 30 (тридца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ти) дней со дня направления продавцом проекта указанного договора не подписал и не представил продавцу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этот Участник не представил продавцу подписанный со своей стороны указанный договор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16. Организатор торгов в течении трёх рабочих дней со дня подписания протокола о результатах торгов возвращает задатки лицам, участвовавшим в аукционе, но не победивш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им </w:t>
      </w:r>
      <w:bookmarkStart w:id="0" w:name="_GoBack"/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 нем.   </w:t>
      </w:r>
      <w:bookmarkEnd w:id="0"/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17.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Организатор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нии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аукциона и возвратить его участникам внесенные задатки.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18. Земельный участок в соответствии с Правилами землепользования и застройки города Костромы, утвер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 отнесен к промышленной и коммунально – складской зоне размещения объектов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:lang w:val="en-US"/>
        </w:rPr>
        <w:t xml:space="preserve">II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:lang w:val="ru-RU"/>
        </w:rPr>
        <w:t xml:space="preserve">,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:lang w:val="en-US"/>
        </w:rPr>
        <w:t xml:space="preserve">III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:lang w:val="ru-RU"/>
        </w:rPr>
        <w:t xml:space="preserve">класса опасности П-2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: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position w:val="0"/>
          <w:sz w:val="22"/>
          <w:szCs w:val="22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3.3. Градостроительный регламент промышленных</w:t>
        <w:br/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и коммунально-складских зон размещения объектов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II, III класса опасности П-2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3.3.1. Для земельных участков и объектов капитального строительства, расположенных в пределах зоны размещения промышленных и коммунально-складских зон размещения объектов II-V класса опасности П-2 (далее - зона П-2) устанавливаются следующие основные виды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использования и соответствующие каждому виду предельные параметры: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 разрешенного использования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Предельные параметры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Производственная деятельность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Тяжелая промышленность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Автомобилестроительная промышленность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6.2.1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Легкая промышленность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Энергетика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гидроэнергетики, тепловые станции и другие электростанции, обслуживающие объекты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- 60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линейных объектов и объектов капитального строительства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Пищевая промышленность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Строительная промышленность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Связь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объектов капитального строительства: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- 60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установление размера санитарно-защитных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нсивности электромагнитного излучения радиочастот;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Склад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сооружения, имеющие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терминалы и доки, нефтехранилища и нефтеналивные станции, газовые хранилища, элеваторы и продовольственные склады, за исключением железнодорожных перевалочных складов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- 5 этажей;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Деловое управление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- 4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Обеспечение деятельности в области гидрометеорологии и смежных с ней областях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- 8 этажей;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3.9.1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8.3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Коммунальное обслуживание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 - 11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Автомобильный транспорт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- 4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7.2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Служебные гаражи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Хранение автотранспорта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2.7.1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Трубопроводный транспорт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нефтепроводы, водопроводы, газопроводы и иные трубопроводы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7.5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здания и сооружения, необходимые для эксплуатации нефтепроводов, водопроводов, газопроводов и иных трубопроводов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18.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дорожного сервиса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 - 10,5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4.9.1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Улично-дорожная сеть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12.0.1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Научно-производственная деятельность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Фармацевтическая промышленность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6.3.1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23.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2.7.2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Стоянка транспортных средств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4.9.2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3.3.2. Для земельных участков и объектов капитального строительства, расположенных в пределах зоны П-2, устанавливаются следующие условно разрешенные виды использования и соответствующие каждому виду предельные параметры: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 разрешенного использования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Предельные параметры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Общественное питание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максимальные размеры земельных участков на 100 посадочных мест: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до 50 - 0,2-0,25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от 50 до 150 - 0,15-0,2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свыше 150 - 0,1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Спорт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объектов капитального строительства - 40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для площадок для занятия спортом - 60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- 3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3.4.1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Выставочно-ярмарочная деятельность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- 5 этажей;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Магазины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- 0,04 га на 100 кв. м торговой площади;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- 5 этажей;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Нефтехимическая промышленность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- 9 этажей;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3.3.3. Для земельных участков и объектов капитального строительства, расположенных в пределах зоны П-2, устанавливаются следующие вспомогательные виды использования: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7860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 использования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объектов энергетики: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обслуживающие и вспомогательные для электростанций сооружения (золоотвалы, гидротехнические сооружения)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99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складов: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газоконденсатные и газоперекачивающие станции, обслуживающие газохранилища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0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обслуживание указанных мероприятий (застройка экспозиционной площади, организация питания участников мероприятий)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contextualSpacing w:val="0"/>
        <w:ind w:left="0" w:right="0" w:firstLine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»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ind w:firstLine="709"/>
        <w:jc w:val="both"/>
        <w:rPr>
          <w:highlight w:val="none"/>
          <w14:ligatures w14:val="none"/>
        </w:rPr>
      </w:pPr>
      <w:r>
        <w:br w:type="page" w:clear="all"/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751"/>
        <w:ind w:firstLine="709"/>
        <w:jc w:val="right"/>
        <w:widowControl w:val="off"/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/>
    </w:p>
    <w:p>
      <w:pPr>
        <w:pStyle w:val="751"/>
        <w:ind w:firstLine="851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51"/>
        <w:jc w:val="center"/>
      </w:pPr>
      <w:r>
        <w:rPr>
          <w:b/>
          <w:lang w:eastAsia="zh-CN"/>
        </w:rPr>
        <w:t xml:space="preserve">ФОРМА</w:t>
      </w:r>
      <w:r>
        <w:rPr>
          <w:b/>
          <w:sz w:val="20"/>
          <w:szCs w:val="20"/>
          <w:lang w:eastAsia="zh-CN"/>
        </w:rPr>
        <w:t xml:space="preserve"> </w:t>
      </w:r>
      <w:r>
        <w:rPr>
          <w:b/>
          <w:lang w:eastAsia="zh-CN"/>
        </w:rPr>
        <w:t xml:space="preserve">ЗАЯВКИ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  <w:lang w:eastAsia="zh-CN"/>
        </w:rPr>
      </w:r>
      <w:r/>
    </w:p>
    <w:p>
      <w:pPr>
        <w:pStyle w:val="751"/>
      </w:pPr>
      <w:r>
        <w:rPr>
          <w:b/>
          <w:sz w:val="2"/>
          <w:szCs w:val="10"/>
          <w:lang w:eastAsia="zh-CN"/>
        </w:rPr>
      </w:r>
      <w:r>
        <w:rPr>
          <w:b/>
          <w:sz w:val="2"/>
          <w:szCs w:val="10"/>
          <w:lang w:eastAsia="zh-CN"/>
        </w:rPr>
      </w:r>
      <w:r/>
    </w:p>
    <w:p>
      <w:pPr>
        <w:pStyle w:val="751"/>
      </w:pPr>
      <w:r>
        <w:rPr>
          <w:b/>
          <w:sz w:val="19"/>
          <w:szCs w:val="19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19"/>
          <w:szCs w:val="19"/>
          <w:lang w:eastAsia="zh-CN"/>
        </w:rPr>
      </w:r>
      <w:r/>
    </w:p>
    <w:p>
      <w:pPr>
        <w:pStyle w:val="751"/>
      </w:pPr>
      <w:r>
        <w:rPr>
          <w:b/>
          <w:sz w:val="19"/>
          <w:szCs w:val="19"/>
          <w:lang w:eastAsia="zh-CN"/>
        </w:rPr>
        <w:t xml:space="preserve">Заявитель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51"/>
        <w:pBdr>
          <w:bottom w:val="single" w:color="000000" w:sz="4" w:space="0"/>
        </w:pBdr>
      </w:pPr>
      <w:r>
        <w:rPr>
          <w:sz w:val="19"/>
          <w:szCs w:val="19"/>
          <w:lang w:eastAsia="zh-CN"/>
        </w:rPr>
      </w:r>
      <w:r>
        <w:rPr>
          <w:sz w:val="19"/>
          <w:szCs w:val="19"/>
          <w:lang w:eastAsia="zh-CN"/>
        </w:rPr>
      </w:r>
      <w:r/>
    </w:p>
    <w:p>
      <w:pPr>
        <w:pStyle w:val="751"/>
        <w:jc w:val="center"/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Ф.И.О., гражданина,  индивидуального предпринимателя,</w:t>
      </w:r>
      <w:r>
        <w:rPr>
          <w:bCs/>
          <w:sz w:val="16"/>
          <w:szCs w:val="18"/>
          <w:lang w:eastAsia="zh-CN"/>
        </w:rPr>
        <w:br/>
      </w:r>
      <w:r>
        <w:rPr>
          <w:bCs/>
          <w:sz w:val="16"/>
          <w:szCs w:val="18"/>
          <w:lang w:eastAsia="zh-CN"/>
        </w:rPr>
        <w:t xml:space="preserve">наименование юридического лица с указанием организационно-правовой формы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51"/>
        <w:jc w:val="both"/>
        <w:pBdr>
          <w:bottom w:val="single" w:color="000000" w:sz="4" w:space="0"/>
        </w:pBdr>
      </w:pPr>
      <w:r>
        <w:rPr>
          <w:b/>
          <w:sz w:val="19"/>
          <w:szCs w:val="19"/>
          <w:lang w:eastAsia="zh-CN"/>
        </w:rPr>
        <w:t xml:space="preserve">в лице</w:t>
      </w:r>
      <w:r>
        <w:rPr>
          <w:sz w:val="19"/>
          <w:szCs w:val="19"/>
          <w:lang w:eastAsia="zh-CN"/>
        </w:rPr>
        <w:t xml:space="preserve"> </w:t>
        <w:tab/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51"/>
        <w:jc w:val="center"/>
      </w:pP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 руководителя юридического лица или уполномоченного лица, лица действующего на основании доверенности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51"/>
        <w:jc w:val="both"/>
        <w:pBdr>
          <w:bottom w:val="single" w:color="000000" w:sz="4" w:space="0"/>
        </w:pBdr>
      </w:pPr>
      <w:r>
        <w:rPr>
          <w:b/>
          <w:bCs/>
          <w:sz w:val="19"/>
          <w:szCs w:val="19"/>
          <w:lang w:eastAsia="zh-CN"/>
        </w:rPr>
        <w:t xml:space="preserve">действующего на основании</w:t>
      </w:r>
      <w:r>
        <w:rPr>
          <w:rStyle w:val="788"/>
          <w:b/>
          <w:bCs/>
          <w:sz w:val="19"/>
          <w:szCs w:val="19"/>
          <w:vertAlign w:val="superscript"/>
          <w:lang w:eastAsia="zh-CN"/>
        </w:rPr>
        <w:footnoteReference w:id="2"/>
      </w:r>
      <w:r>
        <w:rPr>
          <w:b/>
          <w:bCs/>
          <w:sz w:val="19"/>
          <w:szCs w:val="19"/>
          <w:lang w:eastAsia="zh-CN"/>
        </w:rPr>
        <w:t xml:space="preserve"> </w:t>
      </w:r>
      <w:r>
        <w:rPr>
          <w:b/>
          <w:bCs/>
          <w:sz w:val="19"/>
          <w:szCs w:val="19"/>
          <w:lang w:eastAsia="zh-CN"/>
        </w:rPr>
      </w:r>
      <w:r/>
    </w:p>
    <w:p>
      <w:pPr>
        <w:pStyle w:val="751"/>
        <w:jc w:val="center"/>
      </w:pPr>
      <w:r>
        <w:rPr>
          <w:sz w:val="18"/>
          <w:szCs w:val="20"/>
          <w:lang w:eastAsia="zh-CN"/>
        </w:rPr>
        <w:t xml:space="preserve">(</w:t>
      </w:r>
      <w:r>
        <w:rPr>
          <w:sz w:val="16"/>
          <w:szCs w:val="18"/>
          <w:lang w:eastAsia="zh-CN"/>
        </w:rPr>
        <w:t xml:space="preserve">Устав, Положение, Соглашение, Доверенности и т.д</w:t>
      </w:r>
      <w:r>
        <w:rPr>
          <w:sz w:val="18"/>
          <w:szCs w:val="20"/>
          <w:lang w:eastAsia="zh-CN"/>
        </w:rPr>
        <w:t xml:space="preserve">.)</w:t>
      </w:r>
      <w:r>
        <w:rPr>
          <w:b/>
          <w:lang w:eastAsia="zh-CN"/>
        </w:rPr>
      </w:r>
      <w:r/>
    </w:p>
    <w:tbl>
      <w:tblPr>
        <w:tblW w:w="10496" w:type="dxa"/>
        <w:tblInd w:w="-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124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                                                  № 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</w:t>
            </w:r>
            <w:r>
              <w:rPr>
                <w:sz w:val="18"/>
                <w:szCs w:val="18"/>
                <w:lang w:eastAsia="zh-CN"/>
              </w:rPr>
              <w:t xml:space="preserve">_______________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  <w:rPr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ИНН                                       КПП                                          ОГРН                        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Style w:val="751"/>
              <w:widowControl w:val="off"/>
              <w:pBdr>
                <w:bottom w:val="single" w:color="000000" w:sz="4" w:space="0"/>
              </w:pBdr>
            </w:pPr>
            <w:r>
              <w:rPr>
                <w:b/>
                <w:sz w:val="18"/>
                <w:szCs w:val="18"/>
                <w:lang w:eastAsia="zh-CN"/>
              </w:rPr>
              <w:t xml:space="preserve">Представитель Заявителя</w:t>
            </w:r>
            <w:r>
              <w:rPr>
                <w:rStyle w:val="788"/>
                <w:b/>
                <w:sz w:val="18"/>
                <w:szCs w:val="18"/>
                <w:vertAlign w:val="superscript"/>
                <w:lang w:eastAsia="zh-CN"/>
              </w:rPr>
              <w:footnoteReference w:id="3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/>
          </w:p>
          <w:p>
            <w:pPr>
              <w:pStyle w:val="751"/>
              <w:jc w:val="center"/>
              <w:widowControl w:val="off"/>
            </w:pPr>
            <w:r>
              <w:rPr>
                <w:b/>
                <w:sz w:val="16"/>
                <w:szCs w:val="18"/>
                <w:lang w:eastAsia="zh-CN"/>
              </w:rPr>
              <w:t xml:space="preserve">(Ф.И.О,)</w:t>
            </w:r>
            <w:r>
              <w:rPr>
                <w:b/>
                <w:sz w:val="16"/>
                <w:szCs w:val="18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RepresentativePassportIssuer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RepresentativePhoneNumber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</w:p>
        </w:tc>
      </w:tr>
    </w:tbl>
    <w:p>
      <w:pPr>
        <w:pStyle w:val="751"/>
        <w:ind w:hanging="1"/>
        <w:jc w:val="both"/>
        <w:widowControl w:val="off"/>
      </w:pPr>
      <w:r>
        <w:rPr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  <w:t xml:space="preserve">принял решение об участии в аукционе на право заключения договора аренды земельного участка </w:t>
      </w:r>
      <w:r>
        <w:rPr>
          <w:b/>
          <w:sz w:val="18"/>
          <w:szCs w:val="18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18"/>
          <w:szCs w:val="18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18"/>
          <w:szCs w:val="18"/>
          <w:lang w:eastAsia="zh-CN"/>
        </w:rPr>
        <w:t xml:space="preserve">руб.</w:t>
      </w:r>
      <w:r>
        <w:rPr>
          <w:sz w:val="18"/>
          <w:szCs w:val="18"/>
          <w:u w:val="single"/>
          <w:lang w:eastAsia="zh-CN"/>
        </w:rPr>
        <w:t xml:space="preserve">            (сумма прописью)</w:t>
      </w:r>
      <w:r>
        <w:rPr>
          <w:sz w:val="18"/>
          <w:szCs w:val="18"/>
          <w:lang w:eastAsia="zh-CN"/>
        </w:rPr>
        <w:t xml:space="preserve">, </w:t>
      </w:r>
      <w:r>
        <w:rPr>
          <w:b/>
          <w:sz w:val="18"/>
          <w:szCs w:val="18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/>
          <w:sz w:val="18"/>
          <w:szCs w:val="18"/>
          <w:lang w:eastAsia="zh-CN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b/>
          <w:sz w:val="18"/>
          <w:szCs w:val="18"/>
        </w:rPr>
        <w:t xml:space="preserve">Банковские реквизиты для возврата задатка:</w:t>
      </w:r>
      <w:r>
        <w:rPr>
          <w:b/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Банк ______________________________________________________________________________________________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Расчётный счёт _______________________________ Корреспондентский счёт 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БИК_________________________________________ Лицевой счёт _________________________________________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Ф. И. О. (наименование) получателя ___________________________________________________________________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обязуется: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788"/>
          <w:sz w:val="18"/>
          <w:szCs w:val="18"/>
          <w:vertAlign w:val="superscript"/>
          <w:lang w:eastAsia="zh-CN"/>
        </w:rPr>
        <w:footnoteReference w:id="4"/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18"/>
          <w:szCs w:val="18"/>
          <w:lang w:eastAsia="zh-CN"/>
        </w:rPr>
        <w:t xml:space="preserve">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18"/>
          <w:szCs w:val="18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  <w:lang w:eastAsia="zh-CN"/>
        </w:rPr>
        <w:t xml:space="preserve">и не имеет претензий к ним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18"/>
          <w:szCs w:val="18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rStyle w:val="788"/>
          <w:sz w:val="17"/>
          <w:szCs w:val="17"/>
          <w:vertAlign w:val="superscript"/>
          <w:lang w:eastAsia="zh-CN"/>
        </w:rPr>
        <w:footnoteReference w:id="5"/>
      </w:r>
      <w:r>
        <w:rPr>
          <w:sz w:val="17"/>
          <w:szCs w:val="17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осведомлен и согласен с тем, что Арендодатель (Прод</w:t>
      </w:r>
      <w:r>
        <w:rPr>
          <w:sz w:val="18"/>
          <w:szCs w:val="18"/>
          <w:lang w:eastAsia="zh-CN"/>
        </w:rPr>
        <w:t xml:space="preserve">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</w:t>
      </w:r>
      <w:r>
        <w:rPr>
          <w:sz w:val="18"/>
          <w:szCs w:val="18"/>
          <w:lang w:eastAsia="zh-CN"/>
        </w:rPr>
        <w:t xml:space="preserve">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</w:t>
      </w:r>
      <w:r>
        <w:rPr>
          <w:sz w:val="18"/>
          <w:szCs w:val="18"/>
          <w:lang w:eastAsia="zh-CN"/>
        </w:rPr>
        <w:t xml:space="preserve">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18"/>
          <w:szCs w:val="18"/>
          <w:lang w:eastAsia="zh-CN"/>
        </w:rPr>
        <w:t xml:space="preserve">ruи сайте Оператора электронной площадки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1"/>
        <w:ind w:left="142" w:hanging="142"/>
        <w:jc w:val="both"/>
      </w:pPr>
      <w:r>
        <w:rPr>
          <w:sz w:val="18"/>
          <w:szCs w:val="18"/>
          <w:lang w:eastAsia="zh-CN"/>
        </w:rPr>
        <w:t xml:space="preserve">8.В соответствии с Ф</w:t>
      </w:r>
      <w:r>
        <w:rPr>
          <w:sz w:val="18"/>
          <w:szCs w:val="18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18"/>
          <w:szCs w:val="18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18"/>
          <w:szCs w:val="18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18"/>
          <w:szCs w:val="18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18"/>
          <w:szCs w:val="18"/>
          <w:lang w:eastAsia="zh-CN"/>
        </w:rPr>
      </w:r>
      <w:r/>
    </w:p>
    <w:p>
      <w:pPr>
        <w:pStyle w:val="751"/>
        <w:spacing w:before="0" w:after="160" w:line="259" w:lineRule="auto"/>
      </w:pPr>
      <w:r>
        <w:rPr>
          <w:szCs w:val="28"/>
          <w:lang w:eastAsia="zh-CN"/>
        </w:rPr>
      </w:r>
      <w:r>
        <w:rPr>
          <w:szCs w:val="28"/>
          <w:lang w:eastAsia="zh-CN"/>
        </w:rPr>
      </w:r>
      <w:r/>
    </w:p>
    <w:p>
      <w:pPr>
        <w:pStyle w:val="751"/>
        <w:spacing w:before="0" w:after="160" w:line="259" w:lineRule="auto"/>
      </w:pPr>
      <w:r>
        <w:rPr>
          <w:szCs w:val="28"/>
          <w:lang w:eastAsia="zh-CN"/>
        </w:rPr>
        <w:t xml:space="preserve">Подписано усиленной квалифицированной электронной подписью</w:t>
      </w:r>
      <w:r>
        <w:rPr>
          <w:bCs/>
          <w:szCs w:val="28"/>
          <w:lang w:eastAsia="zh-CN"/>
        </w:rPr>
      </w:r>
      <w:r/>
    </w:p>
    <w:tbl>
      <w:tblPr>
        <w:tblStyle w:val="951"/>
        <w:tblW w:w="5000" w:type="pct"/>
        <w:tblInd w:w="0" w:type="dxa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2"/>
        </w:trPr>
        <w:tc>
          <w:tcPr>
            <w:tcBorders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120" w:after="0"/>
              <w:widowControl/>
              <w:rPr>
                <w:bCs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электронной подписи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Владелец: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Организация: </w:t>
            </w:r>
            <w:r>
              <w:fldChar w:fldCharType="begin"/>
            </w:r>
            <w:r>
              <w:rPr>
                <w:sz w:val="16"/>
                <w:szCs w:val="16"/>
                <w:lang w:val="ru-RU" w:eastAsia="zh-CN" w:bidi="ar-SA"/>
              </w:rPr>
              <w:instrText xml:space="preserve">Документ_ЭлПодпись_Организация_Участник</w:instrText>
            </w:r>
            <w:r>
              <w:rPr>
                <w:sz w:val="16"/>
                <w:szCs w:val="16"/>
                <w:lang w:val="ru-RU" w:eastAsia="zh-CN" w:bidi="ar-SA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val="ru-RU" w:eastAsia="zh-CN" w:bidi="ar-SA"/>
              </w:rPr>
              <w:t xml:space="preserve">.</w:t>
            </w:r>
            <w:r>
              <w:rPr>
                <w:sz w:val="16"/>
                <w:szCs w:val="16"/>
                <w:lang w:val="ru-RU" w:eastAsia="zh-CN" w:bidi="ar-SA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Подписано: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bCs/>
                <w:lang w:eastAsia="zh-CN"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сертификата</w:t>
            </w:r>
            <w:r>
              <w:rPr>
                <w:bCs/>
                <w:lang w:eastAsia="zh-CN"/>
              </w:rPr>
            </w:r>
            <w:r>
              <w:rPr>
                <w:bCs/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Серийный номер: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Срок действия: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pStyle w:val="751"/>
        <w:ind w:left="7655" w:firstLine="0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51"/>
      </w:pPr>
      <w:r>
        <w:rPr>
          <w:sz w:val="20"/>
          <w:szCs w:val="20"/>
        </w:rPr>
      </w:r>
      <w:r>
        <w:br w:type="page" w:clear="all"/>
      </w:r>
      <w:r>
        <w:rPr>
          <w:sz w:val="20"/>
          <w:szCs w:val="20"/>
        </w:rPr>
      </w:r>
      <w:r/>
    </w:p>
    <w:p>
      <w:pPr>
        <w:pStyle w:val="751"/>
        <w:ind w:left="7655" w:firstLine="0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Приложение 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1"/>
        <w:ind w:firstLine="8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город Кострома                 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2"/>
          <w:szCs w:val="22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2"/>
          <w:szCs w:val="22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4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</w:t>
      </w:r>
      <w:r>
        <w:rPr>
          <w:rFonts w:ascii="Times New Roman" w:hAnsi="Times New Roman" w:cs="Times New Roman"/>
          <w:sz w:val="22"/>
          <w:szCs w:val="22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2"/>
          <w:szCs w:val="22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4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Срок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right="-5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tabs>
          <w:tab w:val="clear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перечисляет Арендодателю на расчетный сче</w:t>
      </w:r>
      <w:r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б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2"/>
          <w:szCs w:val="22"/>
        </w:rPr>
        <w:t xml:space="preserve">,</w:t>
      </w:r>
      <w:r>
        <w:rPr>
          <w:rFonts w:ascii="Times New Roman" w:hAnsi="Times New Roman" w:cs="Times New Roman"/>
          <w:sz w:val="22"/>
          <w:szCs w:val="22"/>
        </w:rPr>
        <w:t xml:space="preserve"> «За аренду земельного участка по адресу: 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2"/>
          <w:szCs w:val="22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2"/>
          <w:szCs w:val="22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2"/>
          <w:szCs w:val="22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2"/>
          <w:szCs w:val="22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4. Права и обязанности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Арендодатель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 Арендодатель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 Арендатор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 Арендатор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2"/>
          <w:szCs w:val="22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2"/>
          <w:szCs w:val="22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2"/>
          <w:szCs w:val="22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4.4.10.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4.4.11.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4.4.12.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4.4.13.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5. Ответственность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5.2. За нарушение услов</w:t>
      </w:r>
      <w:r>
        <w:rPr>
          <w:rFonts w:ascii="Times New Roman" w:hAnsi="Times New Roman" w:cs="Times New Roman"/>
          <w:sz w:val="22"/>
          <w:szCs w:val="22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5.3.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96611607090040000140, ОКТМО 34701000.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2"/>
          <w:szCs w:val="22"/>
        </w:rPr>
        <w:t xml:space="preserve">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2"/>
          <w:szCs w:val="22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2"/>
          <w:szCs w:val="22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2"/>
          <w:szCs w:val="22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6.5. Односторонний отказ от исполнения Договора, предусмотренный пу</w:t>
      </w:r>
      <w:r>
        <w:rPr>
          <w:rFonts w:ascii="Times New Roman" w:hAnsi="Times New Roman" w:cs="Times New Roman"/>
          <w:sz w:val="22"/>
          <w:szCs w:val="22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6.6.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6.7. При прекращени</w:t>
      </w:r>
      <w:r>
        <w:rPr>
          <w:rFonts w:ascii="Times New Roman" w:hAnsi="Times New Roman" w:cs="Times New Roman"/>
          <w:sz w:val="22"/>
          <w:szCs w:val="22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 Особые условия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after="0" w:line="288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2"/>
          <w:szCs w:val="22"/>
        </w:rPr>
        <w:t xml:space="preserve">8.1. Насто</w:t>
      </w:r>
      <w:r>
        <w:rPr>
          <w:rFonts w:ascii="Times New Roman" w:hAnsi="Times New Roman" w:cs="Times New Roman"/>
          <w:sz w:val="22"/>
          <w:szCs w:val="22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 Реквизиты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 Подписи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ind w:firstLine="6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ind w:firstLine="8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1"/>
              <w:ind w:firstLine="180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ind w:firstLine="60"/>
              <w:jc w:val="center"/>
              <w:spacing w:after="0" w:afterAutospacing="0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751"/>
        <w:jc w:val="both"/>
        <w:spacing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1"/>
      </w:pPr>
      <w:r/>
      <w:r/>
    </w:p>
    <w:sectPr>
      <w:footnotePr>
        <w:numFmt w:val="decimal"/>
      </w:footnotePr>
      <w:endnotePr/>
      <w:type w:val="nextPage"/>
      <w:pgSz w:w="11906" w:h="16838" w:orient="portrait"/>
      <w:pgMar w:top="425" w:right="707" w:bottom="822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лицом, или лицом действующим на основании доверенности.</w:t>
      </w:r>
      <w:r/>
    </w:p>
  </w:footnote>
  <w:footnote w:id="3">
    <w:p>
      <w:pPr>
        <w:pStyle w:val="751"/>
        <w:jc w:val="both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4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</w:rPr>
      </w:r>
      <w:r/>
    </w:p>
  </w:footnote>
  <w:footnote w:id="5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</w:t>
      </w:r>
      <w:r>
        <w:rPr>
          <w:sz w:val="18"/>
          <w:szCs w:val="18"/>
        </w:rPr>
        <w:t xml:space="preserve">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761"/>
    <w:link w:val="752"/>
    <w:uiPriority w:val="9"/>
    <w:rPr>
      <w:rFonts w:ascii="Arial" w:hAnsi="Arial" w:eastAsia="Arial" w:cs="Arial"/>
      <w:sz w:val="40"/>
      <w:szCs w:val="40"/>
    </w:rPr>
  </w:style>
  <w:style w:type="character" w:styleId="737">
    <w:name w:val="Heading 2 Char"/>
    <w:basedOn w:val="761"/>
    <w:link w:val="753"/>
    <w:uiPriority w:val="9"/>
    <w:rPr>
      <w:rFonts w:ascii="Arial" w:hAnsi="Arial" w:eastAsia="Arial" w:cs="Arial"/>
      <w:sz w:val="34"/>
    </w:rPr>
  </w:style>
  <w:style w:type="character" w:styleId="738">
    <w:name w:val="Heading 3 Char"/>
    <w:basedOn w:val="761"/>
    <w:link w:val="754"/>
    <w:uiPriority w:val="9"/>
    <w:rPr>
      <w:rFonts w:ascii="Arial" w:hAnsi="Arial" w:eastAsia="Arial" w:cs="Arial"/>
      <w:sz w:val="30"/>
      <w:szCs w:val="30"/>
    </w:rPr>
  </w:style>
  <w:style w:type="character" w:styleId="739">
    <w:name w:val="Heading 4 Char"/>
    <w:basedOn w:val="761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40">
    <w:name w:val="Heading 5 Char"/>
    <w:basedOn w:val="76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41">
    <w:name w:val="Heading 6 Char"/>
    <w:basedOn w:val="761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42">
    <w:name w:val="Heading 7 Char"/>
    <w:basedOn w:val="76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8 Char"/>
    <w:basedOn w:val="7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44">
    <w:name w:val="Heading 9 Char"/>
    <w:basedOn w:val="76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character" w:styleId="745">
    <w:name w:val="Title Char"/>
    <w:basedOn w:val="761"/>
    <w:link w:val="796"/>
    <w:uiPriority w:val="10"/>
    <w:rPr>
      <w:sz w:val="48"/>
      <w:szCs w:val="48"/>
    </w:rPr>
  </w:style>
  <w:style w:type="character" w:styleId="746">
    <w:name w:val="Subtitle Char"/>
    <w:basedOn w:val="761"/>
    <w:link w:val="797"/>
    <w:uiPriority w:val="11"/>
    <w:rPr>
      <w:sz w:val="24"/>
      <w:szCs w:val="24"/>
    </w:rPr>
  </w:style>
  <w:style w:type="character" w:styleId="747">
    <w:name w:val="Quote Char"/>
    <w:link w:val="798"/>
    <w:uiPriority w:val="29"/>
    <w:rPr>
      <w:i/>
    </w:rPr>
  </w:style>
  <w:style w:type="character" w:styleId="748">
    <w:name w:val="Intense Quote Char"/>
    <w:link w:val="799"/>
    <w:uiPriority w:val="30"/>
    <w:rPr>
      <w:i/>
    </w:rPr>
  </w:style>
  <w:style w:type="character" w:styleId="749">
    <w:name w:val="Endnote Text Char"/>
    <w:link w:val="801"/>
    <w:uiPriority w:val="99"/>
    <w:rPr>
      <w:sz w:val="20"/>
    </w:rPr>
  </w:style>
  <w:style w:type="paragraph" w:styleId="750">
    <w:name w:val="toc 2"/>
    <w:basedOn w:val="751"/>
    <w:next w:val="751"/>
    <w:uiPriority w:val="39"/>
    <w:unhideWhenUsed/>
    <w:pPr>
      <w:ind w:left="283" w:right="0" w:firstLine="0"/>
      <w:spacing w:after="57"/>
    </w:pPr>
  </w:style>
  <w:style w:type="paragraph" w:styleId="75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52">
    <w:name w:val="Heading 1"/>
    <w:basedOn w:val="751"/>
    <w:next w:val="751"/>
    <w:link w:val="8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3">
    <w:name w:val="Heading 2"/>
    <w:basedOn w:val="751"/>
    <w:next w:val="751"/>
    <w:link w:val="7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4">
    <w:name w:val="Heading 3"/>
    <w:basedOn w:val="751"/>
    <w:next w:val="751"/>
    <w:link w:val="8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5">
    <w:name w:val="Heading 4"/>
    <w:basedOn w:val="751"/>
    <w:next w:val="751"/>
    <w:link w:val="8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751"/>
    <w:next w:val="751"/>
    <w:link w:val="8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7">
    <w:name w:val="Heading 6"/>
    <w:basedOn w:val="751"/>
    <w:next w:val="751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751"/>
    <w:next w:val="751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751"/>
    <w:next w:val="751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751"/>
    <w:next w:val="751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 w:default="1">
    <w:name w:val="Default Paragraph Font"/>
    <w:uiPriority w:val="1"/>
    <w:semiHidden/>
    <w:unhideWhenUsed/>
    <w:qFormat/>
  </w:style>
  <w:style w:type="character" w:styleId="762" w:customStyle="1">
    <w:name w:val="Заголовок 2 Знак"/>
    <w:basedOn w:val="761"/>
    <w:uiPriority w:val="9"/>
    <w:qFormat/>
    <w:rPr>
      <w:rFonts w:ascii="Arial" w:hAnsi="Arial" w:eastAsia="Arial" w:cs="Arial"/>
      <w:sz w:val="34"/>
    </w:rPr>
  </w:style>
  <w:style w:type="character" w:styleId="763" w:customStyle="1">
    <w:name w:val="Заголовок 6 Знак"/>
    <w:basedOn w:val="76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Заголовок 7 Знак"/>
    <w:basedOn w:val="76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Заголовок 8 Знак"/>
    <w:basedOn w:val="76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Заголовок 9 Знак"/>
    <w:basedOn w:val="76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7" w:customStyle="1">
    <w:name w:val="Заголовок Знак"/>
    <w:basedOn w:val="761"/>
    <w:uiPriority w:val="10"/>
    <w:qFormat/>
    <w:rPr>
      <w:sz w:val="48"/>
      <w:szCs w:val="48"/>
    </w:rPr>
  </w:style>
  <w:style w:type="character" w:styleId="768" w:customStyle="1">
    <w:name w:val="Подзаголовок Знак"/>
    <w:basedOn w:val="761"/>
    <w:uiPriority w:val="11"/>
    <w:qFormat/>
    <w:rPr>
      <w:sz w:val="24"/>
      <w:szCs w:val="24"/>
    </w:rPr>
  </w:style>
  <w:style w:type="character" w:styleId="769" w:customStyle="1">
    <w:name w:val="Цитата 2 Знак"/>
    <w:link w:val="798"/>
    <w:uiPriority w:val="29"/>
    <w:qFormat/>
    <w:rPr>
      <w:i/>
    </w:rPr>
  </w:style>
  <w:style w:type="character" w:styleId="770" w:customStyle="1">
    <w:name w:val="Выделенная цитата Знак"/>
    <w:link w:val="799"/>
    <w:uiPriority w:val="30"/>
    <w:qFormat/>
    <w:rPr>
      <w:i/>
    </w:rPr>
  </w:style>
  <w:style w:type="character" w:styleId="771" w:customStyle="1">
    <w:name w:val="Header Char"/>
    <w:basedOn w:val="761"/>
    <w:uiPriority w:val="99"/>
    <w:qFormat/>
  </w:style>
  <w:style w:type="character" w:styleId="772" w:customStyle="1">
    <w:name w:val="Footer Char"/>
    <w:basedOn w:val="761"/>
    <w:uiPriority w:val="99"/>
    <w:qFormat/>
  </w:style>
  <w:style w:type="character" w:styleId="773" w:customStyle="1">
    <w:name w:val="Caption Char"/>
    <w:uiPriority w:val="99"/>
    <w:qFormat/>
  </w:style>
  <w:style w:type="character" w:styleId="774" w:customStyle="1">
    <w:name w:val="Footnote Text Char"/>
    <w:uiPriority w:val="99"/>
    <w:qFormat/>
    <w:rPr>
      <w:sz w:val="18"/>
    </w:rPr>
  </w:style>
  <w:style w:type="character" w:styleId="775" w:customStyle="1">
    <w:name w:val="Текст концевой сноски Знак"/>
    <w:uiPriority w:val="99"/>
    <w:qFormat/>
    <w:rPr>
      <w:sz w:val="20"/>
    </w:rPr>
  </w:style>
  <w:style w:type="character" w:styleId="776">
    <w:name w:val="Символ концевой сноски"/>
    <w:basedOn w:val="761"/>
    <w:uiPriority w:val="99"/>
    <w:semiHidden/>
    <w:unhideWhenUsed/>
    <w:qFormat/>
    <w:rPr>
      <w:vertAlign w:val="superscript"/>
    </w:rPr>
  </w:style>
  <w:style w:type="character" w:styleId="777">
    <w:name w:val="endnote reference"/>
    <w:rPr>
      <w:vertAlign w:val="superscript"/>
    </w:rPr>
  </w:style>
  <w:style w:type="character" w:styleId="778">
    <w:name w:val="FollowedHyperlink"/>
    <w:basedOn w:val="761"/>
    <w:uiPriority w:val="99"/>
    <w:unhideWhenUsed/>
    <w:qFormat/>
    <w:rPr>
      <w:color w:val="800080"/>
      <w:u w:val="single"/>
    </w:rPr>
  </w:style>
  <w:style w:type="character" w:styleId="779">
    <w:name w:val="Hyperlink"/>
    <w:basedOn w:val="761"/>
    <w:uiPriority w:val="99"/>
    <w:unhideWhenUsed/>
    <w:qFormat/>
    <w:rPr>
      <w:color w:val="0000ff"/>
      <w:u w:val="single"/>
    </w:rPr>
  </w:style>
  <w:style w:type="character" w:styleId="780">
    <w:name w:val="Strong"/>
    <w:basedOn w:val="761"/>
    <w:qFormat/>
    <w:rPr>
      <w:rFonts w:cs="Times New Roman"/>
      <w:b/>
      <w:bCs/>
    </w:rPr>
  </w:style>
  <w:style w:type="character" w:styleId="781" w:customStyle="1">
    <w:name w:val="Верхний колонтитул Знак"/>
    <w:basedOn w:val="76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2" w:customStyle="1">
    <w:name w:val="Нижний колонтитул Знак"/>
    <w:basedOn w:val="76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3" w:customStyle="1">
    <w:name w:val="10"/>
    <w:basedOn w:val="761"/>
    <w:qFormat/>
    <w:rPr>
      <w:rFonts w:ascii="Times New Roman" w:hAnsi="Times New Roman" w:cs="Times New Roman"/>
    </w:rPr>
  </w:style>
  <w:style w:type="character" w:styleId="784" w:customStyle="1">
    <w:name w:val="15"/>
    <w:basedOn w:val="761"/>
    <w:qFormat/>
    <w:rPr>
      <w:rFonts w:ascii="Times New Roman" w:hAnsi="Times New Roman" w:cs="Times New Roman"/>
      <w:color w:val="0000ff"/>
      <w:u w:val="single"/>
    </w:rPr>
  </w:style>
  <w:style w:type="character" w:styleId="785" w:customStyle="1">
    <w:name w:val="16"/>
    <w:basedOn w:val="761"/>
    <w:qFormat/>
    <w:rPr>
      <w:rFonts w:ascii="Times New Roman" w:hAnsi="Times New Roman" w:cs="Times New Roman"/>
    </w:rPr>
  </w:style>
  <w:style w:type="character" w:styleId="786" w:customStyle="1">
    <w:name w:val="rts-text"/>
    <w:basedOn w:val="761"/>
    <w:qFormat/>
  </w:style>
  <w:style w:type="character" w:styleId="787">
    <w:name w:val="Символ сноски"/>
    <w:qFormat/>
    <w:rPr>
      <w:vertAlign w:val="superscript"/>
    </w:rPr>
  </w:style>
  <w:style w:type="character" w:styleId="788">
    <w:name w:val="footnote reference"/>
    <w:rPr>
      <w:vertAlign w:val="superscript"/>
    </w:rPr>
  </w:style>
  <w:style w:type="character" w:styleId="789" w:customStyle="1">
    <w:name w:val="Текст сноски Знак"/>
    <w:basedOn w:val="761"/>
    <w:qFormat/>
    <w:rPr>
      <w:rFonts w:ascii="Times New Roman" w:hAnsi="Times New Roman" w:eastAsia="Times New Roman" w:cs="Times New Roman"/>
      <w:lang w:eastAsia="zh-CN"/>
    </w:rPr>
  </w:style>
  <w:style w:type="character" w:styleId="790" w:customStyle="1">
    <w:name w:val="Текст выноски Знак"/>
    <w:basedOn w:val="761"/>
    <w:link w:val="823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91">
    <w:name w:val="Заголовок"/>
    <w:basedOn w:val="751"/>
    <w:next w:val="79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92">
    <w:name w:val="Body Text"/>
    <w:basedOn w:val="751"/>
    <w:pPr>
      <w:spacing w:before="0" w:after="140" w:line="276" w:lineRule="auto"/>
    </w:pPr>
  </w:style>
  <w:style w:type="paragraph" w:styleId="793">
    <w:name w:val="List"/>
    <w:basedOn w:val="792"/>
    <w:rPr>
      <w:rFonts w:cs="Mangal"/>
    </w:rPr>
  </w:style>
  <w:style w:type="paragraph" w:styleId="794">
    <w:name w:val="Caption"/>
    <w:basedOn w:val="75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95">
    <w:name w:val="Указатель"/>
    <w:basedOn w:val="751"/>
    <w:qFormat/>
    <w:pPr>
      <w:suppressLineNumbers/>
    </w:pPr>
    <w:rPr>
      <w:rFonts w:cs="Mangal"/>
    </w:rPr>
  </w:style>
  <w:style w:type="paragraph" w:styleId="796">
    <w:name w:val="Title"/>
    <w:basedOn w:val="751"/>
    <w:next w:val="751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7">
    <w:name w:val="Subtitle"/>
    <w:basedOn w:val="751"/>
    <w:next w:val="751"/>
    <w:link w:val="768"/>
    <w:uiPriority w:val="11"/>
    <w:qFormat/>
    <w:pPr>
      <w:spacing w:before="200" w:after="200"/>
    </w:pPr>
  </w:style>
  <w:style w:type="paragraph" w:styleId="798">
    <w:name w:val="Quote"/>
    <w:basedOn w:val="751"/>
    <w:next w:val="751"/>
    <w:link w:val="769"/>
    <w:uiPriority w:val="29"/>
    <w:qFormat/>
    <w:pPr>
      <w:ind w:left="720" w:right="720" w:firstLine="0"/>
    </w:pPr>
    <w:rPr>
      <w:i/>
    </w:rPr>
  </w:style>
  <w:style w:type="paragraph" w:styleId="799">
    <w:name w:val="Intense Quote"/>
    <w:basedOn w:val="751"/>
    <w:next w:val="751"/>
    <w:link w:val="770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0">
    <w:name w:val="Caption"/>
    <w:basedOn w:val="751"/>
    <w:next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01">
    <w:name w:val="endnote text"/>
    <w:basedOn w:val="751"/>
    <w:link w:val="775"/>
    <w:uiPriority w:val="99"/>
    <w:semiHidden/>
    <w:unhideWhenUsed/>
    <w:rPr>
      <w:sz w:val="20"/>
    </w:rPr>
  </w:style>
  <w:style w:type="paragraph" w:styleId="802">
    <w:name w:val="toc 1"/>
    <w:basedOn w:val="751"/>
    <w:next w:val="751"/>
    <w:uiPriority w:val="39"/>
    <w:unhideWhenUsed/>
    <w:pPr>
      <w:spacing w:before="0" w:after="57"/>
    </w:pPr>
  </w:style>
  <w:style w:type="paragraph" w:styleId="803">
    <w:name w:val="toc 3"/>
    <w:basedOn w:val="751"/>
    <w:next w:val="751"/>
    <w:uiPriority w:val="39"/>
    <w:unhideWhenUsed/>
    <w:pPr>
      <w:ind w:left="567" w:firstLine="0"/>
      <w:spacing w:before="0" w:after="57"/>
    </w:pPr>
  </w:style>
  <w:style w:type="paragraph" w:styleId="804">
    <w:name w:val="toc 4"/>
    <w:basedOn w:val="751"/>
    <w:next w:val="751"/>
    <w:uiPriority w:val="39"/>
    <w:unhideWhenUsed/>
    <w:pPr>
      <w:ind w:left="850" w:firstLine="0"/>
      <w:spacing w:before="0" w:after="57"/>
    </w:pPr>
  </w:style>
  <w:style w:type="paragraph" w:styleId="805">
    <w:name w:val="toc 5"/>
    <w:basedOn w:val="751"/>
    <w:next w:val="751"/>
    <w:uiPriority w:val="39"/>
    <w:unhideWhenUsed/>
    <w:pPr>
      <w:ind w:left="1134" w:firstLine="0"/>
      <w:spacing w:before="0" w:after="57"/>
    </w:pPr>
  </w:style>
  <w:style w:type="paragraph" w:styleId="806">
    <w:name w:val="toc 6"/>
    <w:basedOn w:val="751"/>
    <w:next w:val="751"/>
    <w:uiPriority w:val="39"/>
    <w:unhideWhenUsed/>
    <w:pPr>
      <w:ind w:left="1417" w:firstLine="0"/>
      <w:spacing w:before="0" w:after="57"/>
    </w:pPr>
  </w:style>
  <w:style w:type="paragraph" w:styleId="807">
    <w:name w:val="toc 7"/>
    <w:basedOn w:val="751"/>
    <w:next w:val="751"/>
    <w:uiPriority w:val="39"/>
    <w:unhideWhenUsed/>
    <w:pPr>
      <w:ind w:left="1701" w:firstLine="0"/>
      <w:spacing w:before="0" w:after="57"/>
    </w:pPr>
  </w:style>
  <w:style w:type="paragraph" w:styleId="808">
    <w:name w:val="toc 8"/>
    <w:basedOn w:val="751"/>
    <w:next w:val="751"/>
    <w:uiPriority w:val="39"/>
    <w:unhideWhenUsed/>
    <w:pPr>
      <w:ind w:left="1984" w:firstLine="0"/>
      <w:spacing w:before="0" w:after="57"/>
    </w:pPr>
  </w:style>
  <w:style w:type="paragraph" w:styleId="809">
    <w:name w:val="toc 9"/>
    <w:basedOn w:val="751"/>
    <w:next w:val="751"/>
    <w:uiPriority w:val="39"/>
    <w:unhideWhenUsed/>
    <w:pPr>
      <w:ind w:left="2268" w:firstLine="0"/>
      <w:spacing w:before="0" w:after="57"/>
    </w:pPr>
  </w:style>
  <w:style w:type="paragraph" w:styleId="810">
    <w:name w:val="Index Heading"/>
    <w:basedOn w:val="791"/>
  </w:style>
  <w:style w:type="paragraph" w:styleId="81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812">
    <w:name w:val="table of figures"/>
    <w:basedOn w:val="751"/>
    <w:next w:val="751"/>
    <w:uiPriority w:val="99"/>
    <w:unhideWhenUsed/>
    <w:qFormat/>
  </w:style>
  <w:style w:type="paragraph" w:styleId="813">
    <w:name w:val="Body Text Indent 3"/>
    <w:basedOn w:val="751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814">
    <w:name w:val="Колонтитул"/>
    <w:basedOn w:val="751"/>
    <w:qFormat/>
  </w:style>
  <w:style w:type="paragraph" w:styleId="815">
    <w:name w:val="Header"/>
    <w:basedOn w:val="751"/>
    <w:link w:val="781"/>
    <w:uiPriority w:val="99"/>
    <w:unhideWhenUsed/>
    <w:qFormat/>
  </w:style>
  <w:style w:type="paragraph" w:styleId="816">
    <w:name w:val="Footer"/>
    <w:basedOn w:val="751"/>
    <w:link w:val="782"/>
    <w:uiPriority w:val="99"/>
    <w:unhideWhenUsed/>
    <w:qFormat/>
  </w:style>
  <w:style w:type="paragraph" w:styleId="817">
    <w:name w:val="Normal (Web)"/>
    <w:basedOn w:val="751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18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19" w:customStyle="1">
    <w:name w:val="rezul"/>
    <w:basedOn w:val="751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20" w:customStyle="1">
    <w:name w:val="Заголов1"/>
    <w:basedOn w:val="751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21">
    <w:name w:val="List Paragraph"/>
    <w:basedOn w:val="751"/>
    <w:uiPriority w:val="99"/>
    <w:qFormat/>
    <w:pPr>
      <w:contextualSpacing/>
      <w:ind w:left="720" w:firstLine="0"/>
      <w:spacing w:before="0" w:after="0"/>
    </w:pPr>
  </w:style>
  <w:style w:type="paragraph" w:styleId="822">
    <w:name w:val="footnote text"/>
    <w:basedOn w:val="751"/>
    <w:link w:val="789"/>
    <w:rPr>
      <w:sz w:val="20"/>
      <w:szCs w:val="20"/>
      <w:lang w:eastAsia="zh-CN"/>
    </w:rPr>
  </w:style>
  <w:style w:type="paragraph" w:styleId="823">
    <w:name w:val="Balloon Text"/>
    <w:basedOn w:val="751"/>
    <w:link w:val="790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24" w:default="1">
    <w:name w:val="No List"/>
    <w:uiPriority w:val="99"/>
    <w:semiHidden/>
    <w:unhideWhenUsed/>
    <w:qFormat/>
  </w:style>
  <w:style w:type="table" w:styleId="82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Table Grid Light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7">
    <w:name w:val="Plain Table 1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8">
    <w:name w:val="Plain Table 2"/>
    <w:basedOn w:val="82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9">
    <w:name w:val="Plain Table 3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0">
    <w:name w:val="Plain Table 4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Plain Table 5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2">
    <w:name w:val="Grid Table 1 Light"/>
    <w:basedOn w:val="82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2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4"/>
    <w:basedOn w:val="82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4" w:customStyle="1">
    <w:name w:val="Grid Table 4 - Accent 1"/>
    <w:basedOn w:val="82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55" w:customStyle="1">
    <w:name w:val="Grid Table 4 - Accent 2"/>
    <w:basedOn w:val="82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56" w:customStyle="1">
    <w:name w:val="Grid Table 4 - Accent 3"/>
    <w:basedOn w:val="82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57" w:customStyle="1">
    <w:name w:val="Grid Table 4 - Accent 4"/>
    <w:basedOn w:val="82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58" w:customStyle="1">
    <w:name w:val="Grid Table 4 - Accent 5"/>
    <w:basedOn w:val="82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9" w:customStyle="1">
    <w:name w:val="Grid Table 4 - Accent 6"/>
    <w:basedOn w:val="82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0">
    <w:name w:val="Grid Table 5 Dark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- Accent 1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2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3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- Accent 4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5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6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67">
    <w:name w:val="Grid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8" w:customStyle="1">
    <w:name w:val="Grid Table 6 Colorful - Accent 1"/>
    <w:basedOn w:val="82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9" w:customStyle="1">
    <w:name w:val="Grid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0" w:customStyle="1">
    <w:name w:val="Grid Table 6 Colorful - Accent 3"/>
    <w:basedOn w:val="82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1" w:customStyle="1">
    <w:name w:val="Grid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2" w:customStyle="1">
    <w:name w:val="Grid Table 6 Colorful - Accent 5"/>
    <w:basedOn w:val="82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3" w:customStyle="1">
    <w:name w:val="Grid Table 6 Colorful - Accent 6"/>
    <w:basedOn w:val="82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4">
    <w:name w:val="Grid Table 7 Colorful"/>
    <w:basedOn w:val="82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Grid Table 7 Colorful - Accent 1"/>
    <w:basedOn w:val="82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Grid Table 7 Colorful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Grid Table 7 Colorful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Grid Table 7 Colorful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Grid Table 7 Colorful - Accent 5"/>
    <w:basedOn w:val="82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Grid Table 7 Colorful - Accent 6"/>
    <w:basedOn w:val="82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>
    <w:name w:val="List Table 1 Light"/>
    <w:basedOn w:val="82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1"/>
    <w:basedOn w:val="825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2"/>
    <w:basedOn w:val="825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3"/>
    <w:basedOn w:val="825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4"/>
    <w:basedOn w:val="825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5"/>
    <w:basedOn w:val="825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6"/>
    <w:basedOn w:val="825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2"/>
    <w:basedOn w:val="82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89" w:customStyle="1">
    <w:name w:val="List Table 2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90" w:customStyle="1">
    <w:name w:val="List Table 2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91" w:customStyle="1">
    <w:name w:val="List Table 2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92" w:customStyle="1">
    <w:name w:val="List Table 2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93" w:customStyle="1">
    <w:name w:val="List Table 2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94" w:customStyle="1">
    <w:name w:val="List Table 2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95">
    <w:name w:val="List Table 3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5 Dark"/>
    <w:basedOn w:val="82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0" w:customStyle="1">
    <w:name w:val="List Table 5 Dark - Accent 1"/>
    <w:basedOn w:val="82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1" w:customStyle="1">
    <w:name w:val="List Table 5 Dark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2" w:customStyle="1">
    <w:name w:val="List Table 5 Dark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3" w:customStyle="1">
    <w:name w:val="List Table 5 Dark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4" w:customStyle="1">
    <w:name w:val="List Table 5 Dark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5" w:customStyle="1">
    <w:name w:val="List Table 5 Dark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6">
    <w:name w:val="List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17" w:customStyle="1">
    <w:name w:val="List Table 6 Colorful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8" w:customStyle="1">
    <w:name w:val="List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19" w:customStyle="1">
    <w:name w:val="List Table 6 Colorful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20" w:customStyle="1">
    <w:name w:val="List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21" w:customStyle="1">
    <w:name w:val="List Table 6 Colorful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22" w:customStyle="1">
    <w:name w:val="List Table 6 Colorful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23">
    <w:name w:val="List Table 7 Colorful"/>
    <w:basedOn w:val="82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st Table 7 Colorful - Accent 1"/>
    <w:basedOn w:val="82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List Table 7 Colorful - Accent 2"/>
    <w:basedOn w:val="82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List Table 7 Colorful - Accent 3"/>
    <w:basedOn w:val="82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List Table 7 Colorful - Accent 4"/>
    <w:basedOn w:val="82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List Table 7 Colorful - Accent 5"/>
    <w:basedOn w:val="82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st Table 7 Colorful - Accent 6"/>
    <w:basedOn w:val="82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0" w:customStyle="1">
    <w:name w:val="Lined - Accent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1" w:customStyle="1">
    <w:name w:val="Lined - Accent 1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2" w:customStyle="1">
    <w:name w:val="Lined - Accent 2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33" w:customStyle="1">
    <w:name w:val="Lined - Accent 3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34" w:customStyle="1">
    <w:name w:val="Lined - Accent 4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5" w:customStyle="1">
    <w:name w:val="Lined - Accent 5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6" w:customStyle="1">
    <w:name w:val="Lined - Accent 6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7" w:customStyle="1">
    <w:name w:val="Bordered &amp; Lined - Accent"/>
    <w:basedOn w:val="82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8" w:customStyle="1">
    <w:name w:val="Bordered &amp; Lined - Accent 1"/>
    <w:basedOn w:val="82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9" w:customStyle="1">
    <w:name w:val="Bordered &amp; Lined - Accent 2"/>
    <w:basedOn w:val="82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40" w:customStyle="1">
    <w:name w:val="Bordered &amp; Lined - Accent 3"/>
    <w:basedOn w:val="82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41" w:customStyle="1">
    <w:name w:val="Bordered &amp; Lined - Accent 4"/>
    <w:basedOn w:val="82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42" w:customStyle="1">
    <w:name w:val="Bordered &amp; Lined - Accent 5"/>
    <w:basedOn w:val="82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43" w:customStyle="1">
    <w:name w:val="Bordered &amp; Lined - Accent 6"/>
    <w:basedOn w:val="82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44" w:customStyle="1">
    <w:name w:val="Bordered"/>
    <w:basedOn w:val="82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45" w:customStyle="1">
    <w:name w:val="Bordered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6" w:customStyle="1">
    <w:name w:val="Bordered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47" w:customStyle="1">
    <w:name w:val="Bordered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48" w:customStyle="1">
    <w:name w:val="Bordered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49" w:customStyle="1">
    <w:name w:val="Bordered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50" w:customStyle="1">
    <w:name w:val="Bordered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51">
    <w:name w:val="Table Grid"/>
    <w:basedOn w:val="825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s://www.rts-tender.ru/" TargetMode="External"/><Relationship Id="rId12" Type="http://schemas.openxmlformats.org/officeDocument/2006/relationships/hyperlink" Target="http://www.rts-tender.ru/" TargetMode="External"/><Relationship Id="rId13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44</cp:revision>
  <dcterms:created xsi:type="dcterms:W3CDTF">2023-10-31T06:24:00Z</dcterms:created>
  <dcterms:modified xsi:type="dcterms:W3CDTF">2024-11-29T12:13:46Z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