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751"/>
        <w:ind w:left="5245" w:firstLine="0"/>
        <w:jc w:val="center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Утверждено</w:t>
      </w:r>
      <w:r>
        <w:rPr>
          <w:i/>
          <w:iCs/>
          <w:sz w:val="22"/>
          <w:szCs w:val="22"/>
        </w:rPr>
      </w:r>
      <w:r>
        <w:rPr>
          <w:i/>
          <w:iCs/>
          <w:sz w:val="22"/>
          <w:szCs w:val="22"/>
        </w:rPr>
      </w:r>
    </w:p>
    <w:p>
      <w:pPr>
        <w:pStyle w:val="751"/>
        <w:ind w:left="5245" w:firstLine="0"/>
        <w:jc w:val="center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распоряжением начальника Управления имущественных и земельных отношений </w:t>
      </w:r>
      <w:r>
        <w:rPr>
          <w:i/>
          <w:iCs/>
          <w:sz w:val="22"/>
          <w:szCs w:val="22"/>
        </w:rPr>
      </w:r>
      <w:r>
        <w:rPr>
          <w:i/>
          <w:iCs/>
          <w:sz w:val="22"/>
          <w:szCs w:val="22"/>
        </w:rPr>
      </w:r>
    </w:p>
    <w:p>
      <w:pPr>
        <w:pStyle w:val="751"/>
        <w:ind w:left="5245" w:firstLine="0"/>
        <w:jc w:val="center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Администрации города Костромы</w:t>
      </w:r>
      <w:r>
        <w:rPr>
          <w:i/>
          <w:iCs/>
          <w:sz w:val="22"/>
          <w:szCs w:val="22"/>
        </w:rPr>
      </w:r>
      <w:r>
        <w:rPr>
          <w:i/>
          <w:iCs/>
          <w:sz w:val="22"/>
          <w:szCs w:val="22"/>
        </w:rPr>
      </w:r>
    </w:p>
    <w:p>
      <w:pPr>
        <w:pStyle w:val="751"/>
        <w:ind w:left="5245" w:firstLine="0"/>
        <w:jc w:val="center"/>
        <w:rPr>
          <w:bCs/>
          <w:i/>
        </w:rPr>
      </w:pPr>
      <w:r>
        <w:rPr>
          <w:bCs/>
          <w:i/>
        </w:rPr>
        <w:t xml:space="preserve">от _________________ № _______</w:t>
      </w:r>
      <w:r>
        <w:rPr>
          <w:bCs/>
          <w:i/>
        </w:rPr>
      </w:r>
      <w:r>
        <w:rPr>
          <w:bCs/>
          <w:i/>
        </w:rPr>
      </w:r>
    </w:p>
    <w:p>
      <w:pPr>
        <w:pStyle w:val="751"/>
        <w:ind w:left="5245" w:firstLine="0"/>
        <w:rPr>
          <w:b/>
          <w:bCs/>
        </w:rPr>
      </w:pPr>
      <w:r>
        <w:rPr>
          <w:b/>
          <w:bCs/>
        </w:rPr>
      </w:r>
      <w:r>
        <w:rPr>
          <w:b/>
          <w:bCs/>
        </w:rPr>
      </w:r>
      <w:r>
        <w:rPr>
          <w:b/>
          <w:bCs/>
        </w:rPr>
      </w:r>
    </w:p>
    <w:p>
      <w:pPr>
        <w:pStyle w:val="751"/>
        <w:ind w:firstLine="851"/>
        <w:rPr>
          <w:b/>
          <w:bCs/>
        </w:rPr>
      </w:pPr>
      <w:r>
        <w:rPr>
          <w:b/>
          <w:bCs/>
        </w:rPr>
      </w:r>
      <w:r>
        <w:rPr>
          <w:b/>
          <w:bCs/>
        </w:rPr>
      </w:r>
      <w:r>
        <w:rPr>
          <w:b/>
          <w:bCs/>
        </w:rPr>
      </w:r>
    </w:p>
    <w:p>
      <w:pPr>
        <w:pStyle w:val="820"/>
        <w:numPr>
          <w:ilvl w:val="0"/>
          <w:numId w:val="0"/>
        </w:numPr>
        <w:contextualSpacing w:val="0"/>
        <w:jc w:val="center"/>
        <w:spacing w:before="0" w:after="0" w:line="289" w:lineRule="atLeast"/>
        <w:rPr>
          <w:rFonts w:ascii="Times New Roman" w:hAnsi="Times New Roman" w:cs="Times New Roman"/>
          <w:position w:val="0"/>
          <w:sz w:val="22"/>
          <w:szCs w:val="22"/>
        </w:rPr>
        <w:outlineLvl w:val="0"/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  <w:lang w:val="ru-RU"/>
        </w:rPr>
        <w:t xml:space="preserve">ИЗВЕЩЕНИЕ</w:t>
      </w:r>
      <w:r>
        <w:rPr>
          <w:rFonts w:ascii="Times New Roman" w:hAnsi="Times New Roman" w:cs="Times New Roman"/>
          <w:position w:val="0"/>
          <w:sz w:val="22"/>
          <w:szCs w:val="22"/>
        </w:rPr>
      </w:r>
      <w:r>
        <w:rPr>
          <w:rFonts w:ascii="Times New Roman" w:hAnsi="Times New Roman" w:cs="Times New Roman"/>
          <w:position w:val="0"/>
          <w:sz w:val="22"/>
          <w:szCs w:val="22"/>
        </w:rPr>
      </w:r>
    </w:p>
    <w:p>
      <w:pPr>
        <w:pStyle w:val="820"/>
        <w:numPr>
          <w:ilvl w:val="0"/>
          <w:numId w:val="0"/>
        </w:numPr>
        <w:contextualSpacing w:val="0"/>
        <w:jc w:val="center"/>
        <w:spacing w:before="0" w:beforeAutospacing="0" w:after="0" w:afterAutospacing="0" w:line="240" w:lineRule="auto"/>
        <w:rPr>
          <w:rFonts w:ascii="Times New Roman" w:hAnsi="Times New Roman" w:cs="Times New Roman"/>
          <w:position w:val="0"/>
          <w:sz w:val="20"/>
          <w:szCs w:val="20"/>
        </w:rPr>
        <w:outlineLvl w:val="0"/>
        <w:suppressLineNumbers w:val="0"/>
      </w:pPr>
      <w:r>
        <w:rPr>
          <w:rFonts w:ascii="Times New Roman" w:hAnsi="Times New Roman" w:eastAsia="Times New Roman" w:cs="Times New Roman"/>
          <w:position w:val="0"/>
          <w:sz w:val="20"/>
          <w:szCs w:val="20"/>
          <w:lang w:val="ru-RU"/>
        </w:rPr>
      </w:r>
      <w:r>
        <w:rPr>
          <w:rFonts w:ascii="Times New Roman" w:hAnsi="Times New Roman" w:eastAsia="Times New Roman" w:cs="Times New Roman"/>
          <w:position w:val="0"/>
          <w:sz w:val="20"/>
          <w:szCs w:val="20"/>
          <w:lang w:val="ru-RU"/>
        </w:rPr>
        <w:t xml:space="preserve"> проведении аукциона на право заключения договора аренды земельного участка, расположенного на территории города Костромы, государственная собственность на который не разграничена </w:t>
      </w:r>
      <w:r>
        <w:rPr>
          <w:rFonts w:ascii="Times New Roman" w:hAnsi="Times New Roman" w:cs="Times New Roman"/>
          <w:position w:val="0"/>
          <w:sz w:val="20"/>
          <w:szCs w:val="20"/>
        </w:rPr>
      </w:r>
      <w:r>
        <w:rPr>
          <w:rFonts w:ascii="Times New Roman" w:hAnsi="Times New Roman" w:cs="Times New Roman"/>
          <w:position w:val="0"/>
          <w:sz w:val="20"/>
          <w:szCs w:val="20"/>
        </w:rPr>
      </w:r>
    </w:p>
    <w:p>
      <w:pPr>
        <w:pStyle w:val="751"/>
        <w:contextualSpacing w:val="0"/>
        <w:ind w:firstLine="709"/>
        <w:jc w:val="left"/>
        <w:spacing w:before="0" w:beforeAutospacing="0" w:after="0" w:afterAutospacing="0" w:line="240" w:lineRule="auto"/>
        <w:rPr>
          <w:rFonts w:ascii="Times New Roman" w:hAnsi="Times New Roman" w:cs="Times New Roman"/>
          <w:b/>
          <w:i/>
          <w:position w:val="0"/>
          <w:sz w:val="20"/>
          <w:szCs w:val="20"/>
        </w:rPr>
        <w:suppressLineNumbers w:val="0"/>
      </w:pPr>
      <w:r>
        <w:rPr>
          <w:rFonts w:ascii="Times New Roman" w:hAnsi="Times New Roman" w:eastAsia="Times New Roman" w:cs="Times New Roman"/>
          <w:b/>
          <w:i/>
          <w:position w:val="0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i/>
          <w:position w:val="0"/>
          <w:sz w:val="20"/>
          <w:szCs w:val="20"/>
        </w:rPr>
      </w:r>
      <w:r>
        <w:rPr>
          <w:rFonts w:ascii="Times New Roman" w:hAnsi="Times New Roman" w:cs="Times New Roman"/>
          <w:b/>
          <w:i/>
          <w:position w:val="0"/>
          <w:sz w:val="20"/>
          <w:szCs w:val="20"/>
        </w:rPr>
      </w:r>
    </w:p>
    <w:p>
      <w:pPr>
        <w:pStyle w:val="751"/>
        <w:contextualSpacing w:val="0"/>
        <w:ind w:firstLine="709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position w:val="0"/>
          <w:sz w:val="20"/>
          <w:szCs w:val="20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1. Управление имущественных и земельных отношений Администрации города Костромы сообщает о проведении </w:t>
      </w:r>
      <w:r>
        <w:rPr>
          <w:rFonts w:ascii="Times New Roman" w:hAnsi="Times New Roman" w:eastAsia="Times New Roman" w:cs="Times New Roman"/>
          <w:b/>
          <w:bCs/>
          <w:position w:val="0"/>
          <w:sz w:val="20"/>
          <w:szCs w:val="20"/>
        </w:rPr>
        <w:t xml:space="preserve">9 апреля</w:t>
      </w:r>
      <w:r>
        <w:rPr>
          <w:rFonts w:ascii="Times New Roman" w:hAnsi="Times New Roman" w:eastAsia="Times New Roman" w:cs="Times New Roman"/>
          <w:b/>
          <w:bCs/>
          <w:position w:val="0"/>
          <w:sz w:val="20"/>
          <w:szCs w:val="20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b/>
          <w:bCs/>
          <w:position w:val="0"/>
          <w:sz w:val="20"/>
          <w:szCs w:val="20"/>
          <w:highlight w:val="white"/>
        </w:rPr>
        <w:t xml:space="preserve">2</w:t>
      </w:r>
      <w:r>
        <w:rPr>
          <w:rFonts w:ascii="Times New Roman" w:hAnsi="Times New Roman" w:eastAsia="Times New Roman" w:cs="Times New Roman"/>
          <w:b/>
          <w:bCs/>
          <w:position w:val="0"/>
          <w:sz w:val="20"/>
          <w:szCs w:val="20"/>
          <w:highlight w:val="white"/>
        </w:rPr>
        <w:t xml:space="preserve">025</w:t>
      </w:r>
      <w:r>
        <w:rPr>
          <w:rFonts w:ascii="Times New Roman" w:hAnsi="Times New Roman" w:eastAsia="Times New Roman" w:cs="Times New Roman"/>
          <w:b/>
          <w:bCs/>
          <w:position w:val="0"/>
          <w:sz w:val="20"/>
          <w:szCs w:val="20"/>
          <w:highlight w:val="white"/>
        </w:rPr>
        <w:t xml:space="preserve"> года</w:t>
      </w:r>
      <w:r>
        <w:rPr>
          <w:rFonts w:ascii="Times New Roman" w:hAnsi="Times New Roman" w:eastAsia="Times New Roman" w:cs="Times New Roman"/>
          <w:position w:val="0"/>
          <w:sz w:val="20"/>
          <w:szCs w:val="20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аукциона на право заключения договора аренды земельного участка.</w:t>
      </w:r>
      <w:r>
        <w:rPr>
          <w:rFonts w:ascii="Times New Roman" w:hAnsi="Times New Roman" w:cs="Times New Roman"/>
          <w:position w:val="0"/>
          <w:sz w:val="20"/>
          <w:szCs w:val="20"/>
        </w:rPr>
      </w:r>
      <w:r>
        <w:rPr>
          <w:rFonts w:ascii="Times New Roman" w:hAnsi="Times New Roman" w:cs="Times New Roman"/>
          <w:position w:val="0"/>
          <w:sz w:val="20"/>
          <w:szCs w:val="20"/>
        </w:rPr>
      </w:r>
    </w:p>
    <w:p>
      <w:pPr>
        <w:pStyle w:val="751"/>
        <w:contextualSpacing w:val="0"/>
        <w:ind w:firstLine="709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position w:val="0"/>
          <w:sz w:val="20"/>
          <w:szCs w:val="20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Форма торгов – электронный аукцион. </w:t>
      </w:r>
      <w:r>
        <w:rPr>
          <w:rFonts w:ascii="Times New Roman" w:hAnsi="Times New Roman" w:cs="Times New Roman"/>
          <w:position w:val="0"/>
          <w:sz w:val="20"/>
          <w:szCs w:val="20"/>
          <w:highlight w:val="none"/>
        </w:rPr>
      </w:r>
      <w:r>
        <w:rPr>
          <w:rFonts w:ascii="Times New Roman" w:hAnsi="Times New Roman" w:cs="Times New Roman"/>
          <w:position w:val="0"/>
          <w:sz w:val="20"/>
          <w:szCs w:val="20"/>
          <w:highlight w:val="none"/>
        </w:rPr>
      </w:r>
    </w:p>
    <w:p>
      <w:pPr>
        <w:contextualSpacing w:val="0"/>
        <w:ind w:firstLine="709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position w:val="0"/>
          <w:sz w:val="20"/>
          <w:szCs w:val="20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2. Основание проведения аукциона – постановление Администрации города Костром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ы от 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29 февраля 2024 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года № 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339 «</w:t>
      </w:r>
      <w:r>
        <w:rPr>
          <w:rFonts w:ascii="Times New Roman" w:hAnsi="Times New Roman" w:eastAsia="Times New Roman" w:cs="Times New Roman"/>
          <w:color w:val="000000"/>
          <w:position w:val="0"/>
          <w:sz w:val="20"/>
          <w:szCs w:val="20"/>
        </w:rPr>
        <w:t xml:space="preserve">О проведении аукцио</w:t>
      </w:r>
      <w:r>
        <w:rPr>
          <w:rFonts w:ascii="Times New Roman" w:hAnsi="Times New Roman" w:eastAsia="Times New Roman" w:cs="Times New Roman"/>
          <w:color w:val="000000"/>
          <w:position w:val="0"/>
          <w:sz w:val="20"/>
          <w:szCs w:val="20"/>
        </w:rPr>
        <w:t xml:space="preserve">на на п</w:t>
      </w:r>
      <w:r>
        <w:rPr>
          <w:rFonts w:ascii="Times New Roman" w:hAnsi="Times New Roman" w:eastAsia="Times New Roman" w:cs="Times New Roman"/>
          <w:color w:val="000000"/>
          <w:position w:val="0"/>
          <w:sz w:val="20"/>
          <w:szCs w:val="20"/>
        </w:rPr>
        <w:t xml:space="preserve">раво заключения договора аренды земельного участка, государственная собственность на который не разграничена, расположенного по адресу: Российская Федерация, Костромская область, городской округ город Кострома, улица Индустриальная, земельный участок 48б».</w:t>
      </w:r>
      <w:r>
        <w:rPr>
          <w:rFonts w:ascii="Times New Roman" w:hAnsi="Times New Roman" w:eastAsia="Times New Roman" w:cs="Times New Roman"/>
          <w:color w:val="000000"/>
          <w:position w:val="0"/>
          <w:sz w:val="20"/>
          <w:szCs w:val="20"/>
        </w:rPr>
        <w:t xml:space="preserve"> </w:t>
      </w:r>
      <w:r>
        <w:rPr>
          <w:rFonts w:ascii="Times New Roman" w:hAnsi="Times New Roman" w:cs="Times New Roman"/>
          <w:position w:val="0"/>
          <w:sz w:val="20"/>
          <w:szCs w:val="20"/>
        </w:rPr>
      </w:r>
      <w:r>
        <w:rPr>
          <w:rFonts w:ascii="Times New Roman" w:hAnsi="Times New Roman" w:cs="Times New Roman"/>
          <w:position w:val="0"/>
          <w:sz w:val="20"/>
          <w:szCs w:val="20"/>
        </w:rPr>
      </w:r>
    </w:p>
    <w:p>
      <w:pPr>
        <w:pStyle w:val="751"/>
        <w:contextualSpacing w:val="0"/>
        <w:ind w:firstLine="709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position w:val="0"/>
          <w:sz w:val="20"/>
          <w:szCs w:val="20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3. Сведения о предмете аукциона:</w:t>
      </w:r>
      <w:r>
        <w:rPr>
          <w:rFonts w:ascii="Times New Roman" w:hAnsi="Times New Roman" w:cs="Times New Roman"/>
          <w:position w:val="0"/>
          <w:sz w:val="20"/>
          <w:szCs w:val="20"/>
        </w:rPr>
      </w:r>
      <w:r>
        <w:rPr>
          <w:rFonts w:ascii="Times New Roman" w:hAnsi="Times New Roman" w:cs="Times New Roman"/>
          <w:position w:val="0"/>
          <w:sz w:val="20"/>
          <w:szCs w:val="20"/>
        </w:rPr>
      </w:r>
    </w:p>
    <w:p>
      <w:pPr>
        <w:pStyle w:val="751"/>
        <w:contextualSpacing w:val="0"/>
        <w:jc w:val="center"/>
        <w:spacing w:before="0" w:beforeAutospacing="0" w:after="0" w:afterAutospacing="0" w:line="240" w:lineRule="auto"/>
        <w:rPr>
          <w:rFonts w:ascii="Times New Roman" w:hAnsi="Times New Roman" w:cs="Times New Roman"/>
          <w:position w:val="0"/>
          <w:sz w:val="20"/>
          <w:szCs w:val="20"/>
        </w:rPr>
        <w:suppressLineNumbers w:val="0"/>
      </w:pPr>
      <w:r>
        <w:rPr>
          <w:rFonts w:ascii="Times New Roman" w:hAnsi="Times New Roman" w:eastAsia="Times New Roman" w:cs="Times New Roman"/>
          <w:b/>
          <w:position w:val="0"/>
          <w:sz w:val="20"/>
          <w:szCs w:val="20"/>
        </w:rPr>
        <w:t xml:space="preserve">Лот № 1</w:t>
      </w:r>
      <w:r>
        <w:rPr>
          <w:rFonts w:ascii="Times New Roman" w:hAnsi="Times New Roman" w:cs="Times New Roman"/>
          <w:position w:val="0"/>
          <w:sz w:val="20"/>
          <w:szCs w:val="20"/>
        </w:rPr>
      </w:r>
      <w:r>
        <w:rPr>
          <w:rFonts w:ascii="Times New Roman" w:hAnsi="Times New Roman" w:cs="Times New Roman"/>
          <w:position w:val="0"/>
          <w:sz w:val="20"/>
          <w:szCs w:val="20"/>
        </w:rPr>
      </w:r>
    </w:p>
    <w:p>
      <w:pPr>
        <w:contextualSpacing w:val="0"/>
        <w:ind w:firstLine="709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position w:val="0"/>
          <w:sz w:val="20"/>
          <w:szCs w:val="20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- 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адрес</w:t>
      </w:r>
      <w:r>
        <w:rPr>
          <w:rFonts w:ascii="Times New Roman" w:hAnsi="Times New Roman" w:eastAsia="Times New Roman" w:cs="Times New Roman"/>
          <w:color w:val="000000"/>
          <w:position w:val="0"/>
          <w:sz w:val="20"/>
          <w:szCs w:val="20"/>
        </w:rPr>
        <w:t xml:space="preserve">: </w:t>
      </w:r>
      <w:r>
        <w:rPr>
          <w:rFonts w:ascii="Times New Roman" w:hAnsi="Times New Roman" w:eastAsia="Times New Roman" w:cs="Times New Roman"/>
          <w:color w:val="000000"/>
          <w:position w:val="0"/>
          <w:sz w:val="20"/>
          <w:szCs w:val="20"/>
        </w:rPr>
        <w:t xml:space="preserve">Российская Федерация, Костромская область, городской округ город Кострома, город Кострома, </w:t>
      </w:r>
      <w:r>
        <w:rPr>
          <w:rFonts w:ascii="Times New Roman" w:hAnsi="Times New Roman" w:eastAsia="Times New Roman" w:cs="Times New Roman"/>
          <w:color w:val="000000"/>
          <w:position w:val="0"/>
          <w:sz w:val="20"/>
          <w:szCs w:val="20"/>
        </w:rPr>
        <w:t xml:space="preserve">улица Индустриальная, земельный участок 48б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;</w:t>
      </w:r>
      <w:r>
        <w:rPr>
          <w:rFonts w:ascii="Times New Roman" w:hAnsi="Times New Roman" w:cs="Times New Roman"/>
          <w:position w:val="0"/>
          <w:sz w:val="20"/>
          <w:szCs w:val="20"/>
        </w:rPr>
      </w:r>
      <w:r>
        <w:rPr>
          <w:rFonts w:ascii="Times New Roman" w:hAnsi="Times New Roman" w:cs="Times New Roman"/>
          <w:position w:val="0"/>
          <w:sz w:val="20"/>
          <w:szCs w:val="20"/>
        </w:rPr>
      </w:r>
    </w:p>
    <w:p>
      <w:pPr>
        <w:contextualSpacing w:val="0"/>
        <w:ind w:firstLine="709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position w:val="0"/>
          <w:sz w:val="20"/>
          <w:szCs w:val="20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- площадь: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9496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к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в.м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;</w:t>
      </w:r>
      <w:r>
        <w:rPr>
          <w:rFonts w:ascii="Times New Roman" w:hAnsi="Times New Roman" w:cs="Times New Roman"/>
          <w:position w:val="0"/>
          <w:sz w:val="20"/>
          <w:szCs w:val="20"/>
        </w:rPr>
      </w:r>
      <w:r>
        <w:rPr>
          <w:rFonts w:ascii="Times New Roman" w:hAnsi="Times New Roman" w:cs="Times New Roman"/>
          <w:position w:val="0"/>
          <w:sz w:val="20"/>
          <w:szCs w:val="20"/>
        </w:rPr>
      </w:r>
    </w:p>
    <w:p>
      <w:pPr>
        <w:contextualSpacing w:val="0"/>
        <w:ind w:firstLine="709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position w:val="0"/>
          <w:sz w:val="20"/>
          <w:szCs w:val="20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- кадастровый номер: 44:27:060201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: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603;</w:t>
      </w:r>
      <w:r>
        <w:rPr>
          <w:rFonts w:ascii="Times New Roman" w:hAnsi="Times New Roman" w:cs="Times New Roman"/>
          <w:position w:val="0"/>
          <w:sz w:val="20"/>
          <w:szCs w:val="20"/>
        </w:rPr>
      </w:r>
      <w:r>
        <w:rPr>
          <w:rFonts w:ascii="Times New Roman" w:hAnsi="Times New Roman" w:cs="Times New Roman"/>
          <w:position w:val="0"/>
          <w:sz w:val="20"/>
          <w:szCs w:val="20"/>
        </w:rPr>
      </w:r>
    </w:p>
    <w:p>
      <w:pPr>
        <w:contextualSpacing w:val="0"/>
        <w:ind w:firstLine="709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position w:val="0"/>
          <w:sz w:val="20"/>
          <w:szCs w:val="20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- категория земель: земли населенных пунктов;</w:t>
      </w:r>
      <w:r>
        <w:rPr>
          <w:rFonts w:ascii="Times New Roman" w:hAnsi="Times New Roman" w:cs="Times New Roman"/>
          <w:position w:val="0"/>
          <w:sz w:val="20"/>
          <w:szCs w:val="20"/>
        </w:rPr>
      </w:r>
      <w:r>
        <w:rPr>
          <w:rFonts w:ascii="Times New Roman" w:hAnsi="Times New Roman" w:cs="Times New Roman"/>
          <w:position w:val="0"/>
          <w:sz w:val="20"/>
          <w:szCs w:val="20"/>
        </w:rPr>
      </w:r>
    </w:p>
    <w:p>
      <w:pPr>
        <w:contextualSpacing w:val="0"/>
        <w:ind w:firstLine="709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position w:val="0"/>
          <w:sz w:val="20"/>
          <w:szCs w:val="20"/>
          <w14:ligatures w14:val="none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- разрешенное использован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ие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: п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роизводственная деятельность, связь, склад, целлюлозно – бумажная промышленность, деловое управление, обеспечение деятельности в области гидро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метеорологии и смежных с ней областях, 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коммунальное обслуживание, автомобильный транспорт, служебные гаражи, хранение автотранспорта,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 амбулаторное ветеринарное обслуживание, обеспечение внутреннего правопорядка, трубопроводный транспорт, энергетика, объекты дорожного сервиса, легкая промышленность, научно-производственная деятельность, строительная пр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омышленность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;</w:t>
      </w:r>
      <w:r>
        <w:rPr>
          <w:rFonts w:ascii="Times New Roman" w:hAnsi="Times New Roman" w:cs="Times New Roman"/>
          <w:position w:val="0"/>
          <w:sz w:val="20"/>
          <w:szCs w:val="20"/>
          <w14:ligatures w14:val="none"/>
        </w:rPr>
      </w:r>
      <w:r>
        <w:rPr>
          <w:rFonts w:ascii="Times New Roman" w:hAnsi="Times New Roman" w:cs="Times New Roman"/>
          <w:position w:val="0"/>
          <w:sz w:val="20"/>
          <w:szCs w:val="20"/>
          <w14:ligatures w14:val="none"/>
        </w:rPr>
      </w:r>
    </w:p>
    <w:p>
      <w:pPr>
        <w:contextualSpacing w:val="0"/>
        <w:ind w:firstLine="709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position w:val="0"/>
          <w:sz w:val="20"/>
          <w:szCs w:val="20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- обременения и ограничения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: участок расположен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 в 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приаэродромной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 территории аэродрома Кострома (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Сокеркино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) (зона с особыми условиями использования территории с реестровым номером 44:00-6.587), третьей, четвертой, пятой и шестой 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подзонах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приаэродромной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 территории аэродрома Кострома (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Сокеркино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) (зоны с особыми условиями использования территории с реестровыми номерами 44:00-6.583; 44:00-6.584; 44:00-6.585; 44:00-6.593);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 </w:t>
      </w:r>
      <w:r>
        <w:rPr>
          <w:rFonts w:ascii="Times New Roman" w:hAnsi="Times New Roman" w:cs="Times New Roman"/>
          <w:position w:val="0"/>
          <w:sz w:val="20"/>
          <w:szCs w:val="20"/>
        </w:rPr>
      </w:r>
      <w:r>
        <w:rPr>
          <w:rFonts w:ascii="Times New Roman" w:hAnsi="Times New Roman" w:cs="Times New Roman"/>
          <w:position w:val="0"/>
          <w:sz w:val="20"/>
          <w:szCs w:val="20"/>
        </w:rPr>
      </w:r>
    </w:p>
    <w:p>
      <w:pPr>
        <w:contextualSpacing w:val="0"/>
        <w:ind w:firstLine="709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position w:val="0"/>
          <w:sz w:val="20"/>
          <w:szCs w:val="20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производственная деятельност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ь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: максимальный процент застройки земельного участка – 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6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0; предельное количество этажей – 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9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; минимальный отступ от границ земельного участка – 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3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 м;</w:t>
      </w:r>
      <w:r>
        <w:rPr>
          <w:rFonts w:ascii="Times New Roman" w:hAnsi="Times New Roman" w:cs="Times New Roman"/>
          <w:position w:val="0"/>
          <w:sz w:val="20"/>
          <w:szCs w:val="20"/>
        </w:rPr>
      </w:r>
      <w:r>
        <w:rPr>
          <w:rFonts w:ascii="Times New Roman" w:hAnsi="Times New Roman" w:cs="Times New Roman"/>
          <w:position w:val="0"/>
          <w:sz w:val="20"/>
          <w:szCs w:val="20"/>
        </w:rPr>
      </w:r>
    </w:p>
    <w:p>
      <w:pPr>
        <w:contextualSpacing w:val="0"/>
        <w:ind w:firstLine="709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position w:val="0"/>
          <w:sz w:val="20"/>
          <w:szCs w:val="20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0"/>
          <w:szCs w:val="20"/>
          <w:highlight w:val="none"/>
        </w:rPr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связь: 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максимальный процент застройки земельного участка – 60; предельное количество этажей – 9; минимальный отступ от границ земельного участка – 3 м;</w:t>
      </w:r>
      <w:r>
        <w:rPr>
          <w:rFonts w:ascii="Times New Roman" w:hAnsi="Times New Roman" w:cs="Times New Roman"/>
          <w:position w:val="0"/>
          <w:sz w:val="20"/>
          <w:szCs w:val="20"/>
        </w:rPr>
      </w:r>
      <w:r>
        <w:rPr>
          <w:rFonts w:ascii="Times New Roman" w:hAnsi="Times New Roman" w:cs="Times New Roman"/>
          <w:position w:val="0"/>
          <w:sz w:val="20"/>
          <w:szCs w:val="20"/>
        </w:rPr>
      </w:r>
    </w:p>
    <w:p>
      <w:pPr>
        <w:contextualSpacing w:val="0"/>
        <w:ind w:firstLine="709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position w:val="0"/>
          <w:sz w:val="20"/>
          <w:szCs w:val="20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склад: 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максимальный процент застройки земельного участка – 60; предельное количество этажей – 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5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; минимальный отступ от границ земельного участка – 3 м;</w:t>
      </w:r>
      <w:r>
        <w:rPr>
          <w:rFonts w:ascii="Times New Roman" w:hAnsi="Times New Roman" w:cs="Times New Roman"/>
          <w:position w:val="0"/>
          <w:sz w:val="20"/>
          <w:szCs w:val="20"/>
        </w:rPr>
      </w:r>
      <w:r>
        <w:rPr>
          <w:rFonts w:ascii="Times New Roman" w:hAnsi="Times New Roman" w:cs="Times New Roman"/>
          <w:position w:val="0"/>
          <w:sz w:val="20"/>
          <w:szCs w:val="20"/>
        </w:rPr>
      </w:r>
    </w:p>
    <w:p>
      <w:pPr>
        <w:contextualSpacing w:val="0"/>
        <w:ind w:firstLine="709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position w:val="0"/>
          <w:sz w:val="20"/>
          <w:szCs w:val="20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целлюлозно - бумажная промышленность: 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максимальный процент застройки земельного участка – 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6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0; предельное количество этажей – 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9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; минимальный отступ от границ земельного участка – 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3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 м;</w:t>
      </w:r>
      <w:r>
        <w:rPr>
          <w:rFonts w:ascii="Times New Roman" w:hAnsi="Times New Roman" w:cs="Times New Roman"/>
          <w:position w:val="0"/>
          <w:sz w:val="20"/>
          <w:szCs w:val="20"/>
        </w:rPr>
      </w:r>
      <w:r>
        <w:rPr>
          <w:rFonts w:ascii="Times New Roman" w:hAnsi="Times New Roman" w:cs="Times New Roman"/>
          <w:position w:val="0"/>
          <w:sz w:val="20"/>
          <w:szCs w:val="20"/>
        </w:rPr>
      </w:r>
    </w:p>
    <w:p>
      <w:pPr>
        <w:contextualSpacing w:val="0"/>
        <w:ind w:firstLine="709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position w:val="0"/>
          <w:sz w:val="20"/>
          <w:szCs w:val="20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деловое управление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: 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максимальный процент застрой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ки земельного участка – 4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0; 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предельное количество этажей – 4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; минимальный отступ от границ земельного участка – 3 м;</w:t>
      </w:r>
      <w:r>
        <w:rPr>
          <w:rFonts w:ascii="Times New Roman" w:hAnsi="Times New Roman" w:cs="Times New Roman"/>
          <w:position w:val="0"/>
          <w:sz w:val="20"/>
          <w:szCs w:val="20"/>
        </w:rPr>
      </w:r>
      <w:r>
        <w:rPr>
          <w:rFonts w:ascii="Times New Roman" w:hAnsi="Times New Roman" w:cs="Times New Roman"/>
          <w:position w:val="0"/>
          <w:sz w:val="20"/>
          <w:szCs w:val="20"/>
        </w:rPr>
      </w:r>
    </w:p>
    <w:p>
      <w:pPr>
        <w:contextualSpacing w:val="0"/>
        <w:ind w:firstLine="709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position w:val="0"/>
          <w:sz w:val="20"/>
          <w:szCs w:val="20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0"/>
          <w:szCs w:val="20"/>
          <w:highlight w:val="none"/>
        </w:rPr>
        <w:t xml:space="preserve">обеспечение деятельности в области 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гидро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метеорологии и смежных с ней областях</w:t>
      </w:r>
      <w:r>
        <w:rPr>
          <w:rFonts w:ascii="Times New Roman" w:hAnsi="Times New Roman" w:eastAsia="Times New Roman" w:cs="Times New Roman"/>
          <w:position w:val="0"/>
          <w:sz w:val="20"/>
          <w:szCs w:val="20"/>
          <w:highlight w:val="none"/>
        </w:rPr>
        <w:t xml:space="preserve">: 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максимальный процент застройки земельного участка – 50; предельное количество этажей – 8; минимальный отступ от границ земельного участка – 3 м;</w:t>
      </w:r>
      <w:r>
        <w:rPr>
          <w:rFonts w:ascii="Times New Roman" w:hAnsi="Times New Roman" w:cs="Times New Roman"/>
          <w:position w:val="0"/>
          <w:sz w:val="20"/>
          <w:szCs w:val="20"/>
        </w:rPr>
      </w:r>
      <w:r>
        <w:rPr>
          <w:rFonts w:ascii="Times New Roman" w:hAnsi="Times New Roman" w:cs="Times New Roman"/>
          <w:position w:val="0"/>
          <w:sz w:val="20"/>
          <w:szCs w:val="20"/>
        </w:rPr>
      </w:r>
    </w:p>
    <w:p>
      <w:pPr>
        <w:contextualSpacing w:val="0"/>
        <w:ind w:firstLine="709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position w:val="0"/>
          <w:sz w:val="20"/>
          <w:szCs w:val="20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коммунальное обслуживание: максимальный процент застройки земельного участка – 100; предельное количество этажей – 2; минимальный отступ от границ земельного участка – 0 м;</w:t>
      </w:r>
      <w:r>
        <w:rPr>
          <w:rFonts w:ascii="Times New Roman" w:hAnsi="Times New Roman" w:cs="Times New Roman"/>
          <w:position w:val="0"/>
          <w:sz w:val="20"/>
          <w:szCs w:val="20"/>
        </w:rPr>
      </w:r>
      <w:r>
        <w:rPr>
          <w:rFonts w:ascii="Times New Roman" w:hAnsi="Times New Roman" w:cs="Times New Roman"/>
          <w:position w:val="0"/>
          <w:sz w:val="20"/>
          <w:szCs w:val="20"/>
        </w:rPr>
      </w:r>
    </w:p>
    <w:p>
      <w:pPr>
        <w:contextualSpacing w:val="0"/>
        <w:ind w:firstLine="709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position w:val="0"/>
          <w:sz w:val="20"/>
          <w:szCs w:val="20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автомобильный транспорт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: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максимальный процент заст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ройки земельного участка – 40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; 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предельное количество этажей – 4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; минимальный отступ от границ земельного участка – 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3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 м;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 </w:t>
      </w:r>
      <w:r>
        <w:rPr>
          <w:rFonts w:ascii="Times New Roman" w:hAnsi="Times New Roman" w:cs="Times New Roman"/>
          <w:position w:val="0"/>
          <w:sz w:val="20"/>
          <w:szCs w:val="20"/>
        </w:rPr>
      </w:r>
      <w:r>
        <w:rPr>
          <w:rFonts w:ascii="Times New Roman" w:hAnsi="Times New Roman" w:cs="Times New Roman"/>
          <w:position w:val="0"/>
          <w:sz w:val="20"/>
          <w:szCs w:val="20"/>
        </w:rPr>
      </w:r>
    </w:p>
    <w:p>
      <w:pPr>
        <w:contextualSpacing w:val="0"/>
        <w:ind w:firstLine="709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position w:val="0"/>
          <w:sz w:val="20"/>
          <w:szCs w:val="20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служебные гаражи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: 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максимальный процент застройки земельного участка – 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5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0; предельное количество этажей – 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5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; минимальный отступ от границ земельного участка – 3 м;</w:t>
      </w:r>
      <w:r>
        <w:rPr>
          <w:rFonts w:ascii="Times New Roman" w:hAnsi="Times New Roman" w:cs="Times New Roman"/>
          <w:position w:val="0"/>
          <w:sz w:val="20"/>
          <w:szCs w:val="20"/>
        </w:rPr>
      </w:r>
      <w:r>
        <w:rPr>
          <w:rFonts w:ascii="Times New Roman" w:hAnsi="Times New Roman" w:cs="Times New Roman"/>
          <w:position w:val="0"/>
          <w:sz w:val="20"/>
          <w:szCs w:val="20"/>
        </w:rPr>
      </w:r>
    </w:p>
    <w:p>
      <w:pPr>
        <w:contextualSpacing w:val="0"/>
        <w:ind w:firstLine="709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position w:val="0"/>
          <w:sz w:val="20"/>
          <w:szCs w:val="20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хранение автотранспорта: максимальный процент застройки земельного участка – 100; предельное количество этажей – 2; минимальный отступ от границ земельного участка – 0 м;</w:t>
      </w:r>
      <w:r>
        <w:rPr>
          <w:rFonts w:ascii="Times New Roman" w:hAnsi="Times New Roman" w:cs="Times New Roman"/>
          <w:position w:val="0"/>
          <w:sz w:val="20"/>
          <w:szCs w:val="20"/>
        </w:rPr>
      </w:r>
      <w:r>
        <w:rPr>
          <w:rFonts w:ascii="Times New Roman" w:hAnsi="Times New Roman" w:cs="Times New Roman"/>
          <w:position w:val="0"/>
          <w:sz w:val="20"/>
          <w:szCs w:val="20"/>
        </w:rPr>
      </w:r>
    </w:p>
    <w:p>
      <w:pPr>
        <w:contextualSpacing w:val="0"/>
        <w:ind w:firstLine="709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position w:val="0"/>
          <w:sz w:val="20"/>
          <w:szCs w:val="20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0"/>
          <w:szCs w:val="20"/>
          <w:highlight w:val="none"/>
        </w:rPr>
        <w:t xml:space="preserve">амбулаторное ветеринарное обслуживание: 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максимальный процент застройки земельного участка – 100; предельное количество этажей – 2; минимальный отступ от границ земельного участка – 0 м;</w:t>
      </w:r>
      <w:r>
        <w:rPr>
          <w:rFonts w:ascii="Times New Roman" w:hAnsi="Times New Roman" w:cs="Times New Roman"/>
          <w:position w:val="0"/>
          <w:sz w:val="20"/>
          <w:szCs w:val="20"/>
          <w:highlight w:val="none"/>
        </w:rPr>
      </w:r>
      <w:r>
        <w:rPr>
          <w:rFonts w:ascii="Times New Roman" w:hAnsi="Times New Roman" w:cs="Times New Roman"/>
          <w:position w:val="0"/>
          <w:sz w:val="20"/>
          <w:szCs w:val="20"/>
          <w:highlight w:val="none"/>
        </w:rPr>
      </w:r>
    </w:p>
    <w:p>
      <w:pPr>
        <w:contextualSpacing w:val="0"/>
        <w:ind w:firstLine="709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position w:val="0"/>
          <w:sz w:val="20"/>
          <w:szCs w:val="20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обеспечение внутреннего правопорядка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: 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максимальный процент застройки земельного участка – 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4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0; предельное количество этажей – 2; минимальный отступ от границ земельного участка – 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3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 м;</w:t>
      </w:r>
      <w:r>
        <w:rPr>
          <w:rFonts w:ascii="Times New Roman" w:hAnsi="Times New Roman" w:cs="Times New Roman"/>
          <w:position w:val="0"/>
          <w:sz w:val="20"/>
          <w:szCs w:val="20"/>
        </w:rPr>
      </w:r>
      <w:r>
        <w:rPr>
          <w:rFonts w:ascii="Times New Roman" w:hAnsi="Times New Roman" w:cs="Times New Roman"/>
          <w:position w:val="0"/>
          <w:sz w:val="20"/>
          <w:szCs w:val="20"/>
        </w:rPr>
      </w:r>
    </w:p>
    <w:p>
      <w:pPr>
        <w:contextualSpacing w:val="0"/>
        <w:ind w:firstLine="709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position w:val="0"/>
          <w:sz w:val="20"/>
          <w:szCs w:val="20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0"/>
          <w:szCs w:val="20"/>
          <w:highlight w:val="none"/>
        </w:rPr>
        <w:t xml:space="preserve">трубопроводный транспорт: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 максимальный процент застройки земельного участка – 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100; предельное количество этажей – 3; минимальный отступ от границ земельного участка – 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0 м;</w:t>
      </w:r>
      <w:r>
        <w:rPr>
          <w:rFonts w:ascii="Times New Roman" w:hAnsi="Times New Roman" w:cs="Times New Roman"/>
          <w:position w:val="0"/>
          <w:sz w:val="20"/>
          <w:szCs w:val="20"/>
          <w:highlight w:val="none"/>
        </w:rPr>
      </w:r>
      <w:r>
        <w:rPr>
          <w:rFonts w:ascii="Times New Roman" w:hAnsi="Times New Roman" w:cs="Times New Roman"/>
          <w:position w:val="0"/>
          <w:sz w:val="20"/>
          <w:szCs w:val="20"/>
          <w:highlight w:val="none"/>
        </w:rPr>
      </w:r>
    </w:p>
    <w:p>
      <w:pPr>
        <w:contextualSpacing w:val="0"/>
        <w:ind w:firstLine="709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position w:val="0"/>
          <w:sz w:val="20"/>
          <w:szCs w:val="20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энергетика: максимальный процент застройки земельного участка – 60; предельное количество этажей – 9; минимальный отступ от гр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аниц земельного участка – 3 м; </w:t>
      </w:r>
      <w:r>
        <w:rPr>
          <w:rFonts w:ascii="Times New Roman" w:hAnsi="Times New Roman" w:cs="Times New Roman"/>
          <w:position w:val="0"/>
          <w:sz w:val="20"/>
          <w:szCs w:val="20"/>
          <w:highlight w:val="none"/>
        </w:rPr>
      </w:r>
      <w:r>
        <w:rPr>
          <w:rFonts w:ascii="Times New Roman" w:hAnsi="Times New Roman" w:cs="Times New Roman"/>
          <w:position w:val="0"/>
          <w:sz w:val="20"/>
          <w:szCs w:val="20"/>
          <w:highlight w:val="none"/>
        </w:rPr>
      </w:r>
    </w:p>
    <w:p>
      <w:pPr>
        <w:contextualSpacing w:val="0"/>
        <w:ind w:firstLine="709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position w:val="0"/>
          <w:sz w:val="20"/>
          <w:szCs w:val="20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объекты дорожного сервиса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: 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максимальный процент застройки земельного участка – 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5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0; предельная высота зданий - 10,5 м; минимальный отступ от границ земельного участка – 3 м;</w:t>
      </w:r>
      <w:r>
        <w:rPr>
          <w:rFonts w:ascii="Times New Roman" w:hAnsi="Times New Roman" w:cs="Times New Roman"/>
          <w:position w:val="0"/>
          <w:sz w:val="20"/>
          <w:szCs w:val="20"/>
        </w:rPr>
      </w:r>
      <w:r>
        <w:rPr>
          <w:rFonts w:ascii="Times New Roman" w:hAnsi="Times New Roman" w:cs="Times New Roman"/>
          <w:position w:val="0"/>
          <w:sz w:val="20"/>
          <w:szCs w:val="20"/>
        </w:rPr>
      </w:r>
    </w:p>
    <w:p>
      <w:pPr>
        <w:contextualSpacing w:val="0"/>
        <w:ind w:firstLine="709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position w:val="0"/>
          <w:sz w:val="20"/>
          <w:szCs w:val="20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легкая промышленность: максимальный процент застройки земельного учас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тка – 60;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 предельное количество этажей – 9; минимальный отступ от границ земельного участка – 3 м;</w:t>
      </w:r>
      <w:r>
        <w:rPr>
          <w:rFonts w:ascii="Times New Roman" w:hAnsi="Times New Roman" w:cs="Times New Roman"/>
          <w:position w:val="0"/>
          <w:sz w:val="20"/>
          <w:szCs w:val="20"/>
        </w:rPr>
      </w:r>
      <w:r>
        <w:rPr>
          <w:rFonts w:ascii="Times New Roman" w:hAnsi="Times New Roman" w:cs="Times New Roman"/>
          <w:position w:val="0"/>
          <w:sz w:val="20"/>
          <w:szCs w:val="20"/>
        </w:rPr>
      </w:r>
    </w:p>
    <w:p>
      <w:pPr>
        <w:contextualSpacing w:val="0"/>
        <w:ind w:firstLine="709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position w:val="0"/>
          <w:sz w:val="20"/>
          <w:szCs w:val="20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научно-производственная деятельность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: 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максимальный процент застройки земельного участка – 60; предельное количество этажей – 9; минимальный отступ от границ земельного участка – 3 м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;</w:t>
      </w:r>
      <w:r>
        <w:rPr>
          <w:rFonts w:ascii="Times New Roman" w:hAnsi="Times New Roman" w:cs="Times New Roman"/>
          <w:position w:val="0"/>
          <w:sz w:val="20"/>
          <w:szCs w:val="20"/>
        </w:rPr>
      </w:r>
      <w:r>
        <w:rPr>
          <w:rFonts w:ascii="Times New Roman" w:hAnsi="Times New Roman" w:cs="Times New Roman"/>
          <w:position w:val="0"/>
          <w:sz w:val="20"/>
          <w:szCs w:val="20"/>
        </w:rPr>
      </w:r>
    </w:p>
    <w:p>
      <w:pPr>
        <w:contextualSpacing w:val="0"/>
        <w:ind w:firstLine="709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position w:val="0"/>
          <w:sz w:val="20"/>
          <w:szCs w:val="20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строительная промышленность: 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максимальный процент застройки земельного участка – 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6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0; предельное количество этажей – 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9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; минимальный отступ от границ земельного участка – 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3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 м;</w:t>
      </w:r>
      <w:r>
        <w:rPr>
          <w:rFonts w:ascii="Times New Roman" w:hAnsi="Times New Roman" w:cs="Times New Roman"/>
          <w:position w:val="0"/>
          <w:sz w:val="20"/>
          <w:szCs w:val="20"/>
        </w:rPr>
      </w:r>
      <w:r>
        <w:rPr>
          <w:rFonts w:ascii="Times New Roman" w:hAnsi="Times New Roman" w:cs="Times New Roman"/>
          <w:position w:val="0"/>
          <w:sz w:val="20"/>
          <w:szCs w:val="20"/>
        </w:rPr>
      </w:r>
    </w:p>
    <w:p>
      <w:pPr>
        <w:contextualSpacing w:val="0"/>
        <w:ind w:firstLine="709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position w:val="0"/>
          <w:sz w:val="20"/>
          <w:szCs w:val="20"/>
        </w:rP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position w:val="0"/>
          <w:sz w:val="20"/>
          <w:szCs w:val="20"/>
        </w:rPr>
        <w:t xml:space="preserve">- срок аренды земельного участка: 10</w:t>
      </w:r>
      <w:r>
        <w:rPr>
          <w:rFonts w:ascii="Times New Roman" w:hAnsi="Times New Roman" w:eastAsia="Times New Roman" w:cs="Times New Roman"/>
          <w:color w:val="000000" w:themeColor="text1"/>
          <w:position w:val="0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position w:val="0"/>
          <w:sz w:val="20"/>
          <w:szCs w:val="20"/>
        </w:rPr>
        <w:t xml:space="preserve">лет</w:t>
      </w:r>
      <w:r>
        <w:rPr>
          <w:rFonts w:ascii="Times New Roman" w:hAnsi="Times New Roman" w:eastAsia="Times New Roman" w:cs="Times New Roman"/>
          <w:color w:val="000000" w:themeColor="text1"/>
          <w:position w:val="0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position w:val="0"/>
          <w:sz w:val="20"/>
          <w:szCs w:val="20"/>
        </w:rPr>
        <w:t xml:space="preserve">8 месяц</w:t>
      </w:r>
      <w:r>
        <w:rPr>
          <w:rFonts w:ascii="Times New Roman" w:hAnsi="Times New Roman" w:eastAsia="Times New Roman" w:cs="Times New Roman"/>
          <w:color w:val="000000" w:themeColor="text1"/>
          <w:position w:val="0"/>
          <w:sz w:val="20"/>
          <w:szCs w:val="20"/>
        </w:rPr>
        <w:t xml:space="preserve">ев;</w:t>
      </w:r>
      <w:r>
        <w:rPr>
          <w:rFonts w:ascii="Times New Roman" w:hAnsi="Times New Roman" w:cs="Times New Roman"/>
          <w:position w:val="0"/>
          <w:sz w:val="20"/>
          <w:szCs w:val="20"/>
        </w:rPr>
      </w:r>
      <w:r>
        <w:rPr>
          <w:rFonts w:ascii="Times New Roman" w:hAnsi="Times New Roman" w:cs="Times New Roman"/>
          <w:position w:val="0"/>
          <w:sz w:val="20"/>
          <w:szCs w:val="20"/>
        </w:rPr>
      </w:r>
    </w:p>
    <w:p>
      <w:pPr>
        <w:contextualSpacing w:val="0"/>
        <w:ind w:firstLine="709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position w:val="0"/>
          <w:sz w:val="20"/>
          <w:szCs w:val="20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- информация о возможности подключения (технологического присоединения): водоснабжение, водоотведение, ливневая канализация от МУП города Костромы «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Костромагорводоканал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» от 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20.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01.2025 № исх.02.11/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192д, от 20.01.2025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 № исх.02.11/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189д; 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газоснабжение от ООО «Газпром газораспределение Кострома» от 23.01.2025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 № 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ИС-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15/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258, теплоснабжение от ПАО «ТГК-2» от 23.01.2025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 № 4201/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64-2025;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 МУП г. Костромы «Городские сети» от 29.01.2025 №13-01/00259;</w:t>
      </w:r>
      <w:r>
        <w:rPr>
          <w:rFonts w:ascii="Times New Roman" w:hAnsi="Times New Roman" w:cs="Times New Roman"/>
          <w:position w:val="0"/>
          <w:sz w:val="20"/>
          <w:szCs w:val="20"/>
        </w:rPr>
      </w:r>
      <w:r>
        <w:rPr>
          <w:rFonts w:ascii="Times New Roman" w:hAnsi="Times New Roman" w:cs="Times New Roman"/>
          <w:position w:val="0"/>
          <w:sz w:val="20"/>
          <w:szCs w:val="20"/>
        </w:rPr>
      </w:r>
    </w:p>
    <w:p>
      <w:pPr>
        <w:contextualSpacing w:val="0"/>
        <w:ind w:firstLine="709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position w:val="0"/>
          <w:sz w:val="20"/>
          <w:szCs w:val="20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- начальный размер ежегодной арендной платы: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 1 090 000 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(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Один миллион девяносто тысяч) рублей;</w:t>
      </w:r>
      <w:r>
        <w:rPr>
          <w:rFonts w:ascii="Times New Roman" w:hAnsi="Times New Roman" w:cs="Times New Roman"/>
          <w:position w:val="0"/>
          <w:sz w:val="20"/>
          <w:szCs w:val="20"/>
        </w:rPr>
      </w:r>
      <w:r>
        <w:rPr>
          <w:rFonts w:ascii="Times New Roman" w:hAnsi="Times New Roman" w:cs="Times New Roman"/>
          <w:position w:val="0"/>
          <w:sz w:val="20"/>
          <w:szCs w:val="20"/>
        </w:rPr>
      </w:r>
    </w:p>
    <w:p>
      <w:pPr>
        <w:contextualSpacing w:val="0"/>
        <w:ind w:firstLine="709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position w:val="0"/>
          <w:sz w:val="20"/>
          <w:szCs w:val="20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- шаг аукциона: 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32 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700 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(Тридцать две 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тысячи семьсот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) рублей;</w:t>
      </w:r>
      <w:r>
        <w:rPr>
          <w:rFonts w:ascii="Times New Roman" w:hAnsi="Times New Roman" w:cs="Times New Roman"/>
          <w:position w:val="0"/>
          <w:sz w:val="20"/>
          <w:szCs w:val="20"/>
        </w:rPr>
      </w:r>
      <w:r>
        <w:rPr>
          <w:rFonts w:ascii="Times New Roman" w:hAnsi="Times New Roman" w:cs="Times New Roman"/>
          <w:position w:val="0"/>
          <w:sz w:val="20"/>
          <w:szCs w:val="20"/>
        </w:rPr>
      </w:r>
    </w:p>
    <w:p>
      <w:pPr>
        <w:contextualSpacing w:val="0"/>
        <w:ind w:firstLine="709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b/>
          <w:bCs/>
          <w:color w:val="000000" w:themeColor="text1"/>
          <w:position w:val="0"/>
          <w:sz w:val="20"/>
          <w:szCs w:val="20"/>
          <w:highlight w:val="none"/>
          <w14:ligatures w14:val="none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- размер задатка: 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1 090 000 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(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Один миллион девяносто тысяч)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рублей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.</w:t>
      </w:r>
      <w:r>
        <w:rPr>
          <w:rFonts w:ascii="Times New Roman" w:hAnsi="Times New Roman" w:cs="Times New Roman"/>
          <w:b/>
          <w:bCs/>
          <w:color w:val="000000" w:themeColor="text1"/>
          <w:position w:val="0"/>
          <w:sz w:val="20"/>
          <w:szCs w:val="20"/>
          <w:highlight w:val="none"/>
          <w14:ligatures w14:val="none"/>
        </w:rPr>
      </w:r>
      <w:r>
        <w:rPr>
          <w:rFonts w:ascii="Times New Roman" w:hAnsi="Times New Roman" w:cs="Times New Roman"/>
          <w:b/>
          <w:bCs/>
          <w:color w:val="000000" w:themeColor="text1"/>
          <w:position w:val="0"/>
          <w:sz w:val="20"/>
          <w:szCs w:val="20"/>
          <w:highlight w:val="none"/>
          <w14:ligatures w14:val="none"/>
        </w:rPr>
      </w:r>
    </w:p>
    <w:p>
      <w:pPr>
        <w:pStyle w:val="751"/>
        <w:contextualSpacing w:val="0"/>
        <w:ind w:firstLine="709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position w:val="0"/>
          <w:sz w:val="20"/>
          <w:szCs w:val="20"/>
          <w:highlight w:val="white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0"/>
          <w:szCs w:val="20"/>
          <w:highlight w:val="white"/>
        </w:rPr>
        <w:t xml:space="preserve">4. Организатор аукцио</w:t>
      </w:r>
      <w:r>
        <w:rPr>
          <w:rFonts w:ascii="Times New Roman" w:hAnsi="Times New Roman" w:eastAsia="Times New Roman" w:cs="Times New Roman"/>
          <w:position w:val="0"/>
          <w:sz w:val="20"/>
          <w:szCs w:val="20"/>
          <w:highlight w:val="white"/>
        </w:rPr>
        <w:t xml:space="preserve">на – Управление имущественных и земельных отношений Администрации города Костромы; место нахождения: 156005, Костромская область, город Кострома, площадь Конституции, 2; телефон (4942) 42-68-41, 44-07-64; e-mail: uizo@gradkostroma.ru (далее – организатор).</w:t>
      </w:r>
      <w:r>
        <w:rPr>
          <w:rFonts w:ascii="Times New Roman" w:hAnsi="Times New Roman" w:cs="Times New Roman"/>
          <w:position w:val="0"/>
          <w:sz w:val="20"/>
          <w:szCs w:val="20"/>
          <w:highlight w:val="white"/>
        </w:rPr>
      </w:r>
      <w:r>
        <w:rPr>
          <w:rFonts w:ascii="Times New Roman" w:hAnsi="Times New Roman" w:cs="Times New Roman"/>
          <w:position w:val="0"/>
          <w:sz w:val="20"/>
          <w:szCs w:val="20"/>
          <w:highlight w:val="white"/>
        </w:rPr>
      </w:r>
    </w:p>
    <w:p>
      <w:pPr>
        <w:ind w:firstLine="709"/>
        <w:jc w:val="both"/>
        <w:rPr>
          <w:rFonts w:ascii="Times New Roman" w:hAnsi="Times New Roman"/>
          <w:sz w:val="20"/>
          <w:szCs w:val="20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/>
          <w:sz w:val="20"/>
          <w:szCs w:val="20"/>
          <w:highlight w:val="white"/>
        </w:rPr>
        <w:t xml:space="preserve">Для участия в аукционе заявители представляют в установленный в извещении о проведении аукциона срок следующие документы:</w:t>
      </w:r>
      <w:r>
        <w:rPr>
          <w:rFonts w:ascii="Times New Roman" w:hAnsi="Times New Roman"/>
          <w:sz w:val="20"/>
          <w:szCs w:val="20"/>
          <w:highlight w:val="none"/>
          <w14:ligatures w14:val="none"/>
        </w:rPr>
      </w:r>
      <w:r>
        <w:rPr>
          <w:rFonts w:ascii="Times New Roman" w:hAnsi="Times New Roman"/>
          <w:sz w:val="20"/>
          <w:szCs w:val="20"/>
          <w:highlight w:val="none"/>
          <w14:ligatures w14:val="none"/>
        </w:rPr>
      </w:r>
    </w:p>
    <w:p>
      <w:pPr>
        <w:ind w:firstLine="709"/>
        <w:jc w:val="both"/>
        <w:rPr>
          <w:rFonts w:ascii="Times New Roman" w:hAnsi="Times New Roman"/>
          <w:sz w:val="20"/>
          <w:szCs w:val="20"/>
          <w:highlight w:val="whit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/>
          <w:sz w:val="20"/>
          <w:szCs w:val="20"/>
          <w:highlight w:val="white"/>
        </w:rPr>
        <w:t xml:space="preserve">- заявка на участие в аукционе по установленной в извещении о проведении аукциона форме с указанием банковских реквизитов счета для возврата задатка (Приложение 1);</w:t>
      </w:r>
      <w:r>
        <w:rPr>
          <w:rFonts w:ascii="Times New Roman" w:hAnsi="Times New Roman"/>
          <w:sz w:val="20"/>
          <w:szCs w:val="20"/>
          <w:highlight w:val="white"/>
          <w14:ligatures w14:val="none"/>
        </w:rPr>
      </w:r>
      <w:r>
        <w:rPr>
          <w:rFonts w:ascii="Times New Roman" w:hAnsi="Times New Roman"/>
          <w:sz w:val="20"/>
          <w:szCs w:val="20"/>
          <w:highlight w:val="white"/>
          <w14:ligatures w14:val="none"/>
        </w:rPr>
      </w:r>
    </w:p>
    <w:p>
      <w:pPr>
        <w:ind w:firstLine="709"/>
        <w:jc w:val="both"/>
        <w:rPr>
          <w:rFonts w:ascii="Times New Roman" w:hAnsi="Times New Roman"/>
          <w:sz w:val="20"/>
          <w:szCs w:val="20"/>
          <w:highlight w:val="white"/>
          <w14:ligatures w14:val="none"/>
        </w:rPr>
      </w:pPr>
      <w:r>
        <w:rPr>
          <w:rFonts w:ascii="Times New Roman" w:hAnsi="Times New Roman"/>
          <w:sz w:val="20"/>
          <w:szCs w:val="20"/>
          <w:highlight w:val="white"/>
          <w:lang w:eastAsia="ru-RU"/>
        </w:rPr>
        <w:t xml:space="preserve">- копии документов, удостоверяющих личность заявителя (для граждан)</w:t>
      </w:r>
      <w:r>
        <w:rPr>
          <w:rFonts w:ascii="Times New Roman" w:hAnsi="Times New Roman"/>
          <w:sz w:val="20"/>
          <w:szCs w:val="20"/>
          <w:highlight w:val="white"/>
        </w:rPr>
        <w:t xml:space="preserve"> (копии всех страниц паспорта гражданина Российской Федерации</w:t>
      </w:r>
      <w:r>
        <w:rPr>
          <w:rFonts w:ascii="Times New Roman" w:hAnsi="Times New Roman"/>
          <w:sz w:val="20"/>
          <w:szCs w:val="20"/>
          <w:highlight w:val="white"/>
        </w:rPr>
        <w:t xml:space="preserve">);</w:t>
      </w:r>
      <w:r>
        <w:rPr>
          <w:rFonts w:ascii="Times New Roman" w:hAnsi="Times New Roman"/>
          <w:sz w:val="20"/>
          <w:szCs w:val="20"/>
          <w:highlight w:val="white"/>
          <w14:ligatures w14:val="none"/>
        </w:rPr>
      </w:r>
      <w:r>
        <w:rPr>
          <w:rFonts w:ascii="Times New Roman" w:hAnsi="Times New Roman"/>
          <w:sz w:val="20"/>
          <w:szCs w:val="20"/>
          <w:highlight w:val="white"/>
          <w14:ligatures w14:val="none"/>
        </w:rPr>
      </w:r>
    </w:p>
    <w:p>
      <w:pPr>
        <w:ind w:firstLine="709"/>
        <w:jc w:val="both"/>
        <w:rPr>
          <w:rFonts w:ascii="Times New Roman" w:hAnsi="Times New Roman"/>
          <w:sz w:val="20"/>
          <w:szCs w:val="20"/>
          <w:highlight w:val="white"/>
          <w14:ligatures w14:val="none"/>
        </w:rPr>
      </w:pPr>
      <w:r>
        <w:rPr>
          <w:rFonts w:ascii="Times New Roman" w:hAnsi="Times New Roman"/>
          <w:sz w:val="20"/>
          <w:szCs w:val="20"/>
          <w:highlight w:val="white"/>
          <w:lang w:eastAsia="ru-RU"/>
        </w:rPr>
        <w:t xml:space="preserve">- документ, подтверждающий полномочия представителя претендента, если с заявкой обращается представитель претендента.</w:t>
      </w:r>
      <w:r>
        <w:rPr>
          <w:rFonts w:ascii="Times New Roman" w:hAnsi="Times New Roman"/>
          <w:sz w:val="20"/>
          <w:szCs w:val="20"/>
          <w:highlight w:val="white"/>
          <w14:ligatures w14:val="none"/>
        </w:rPr>
      </w:r>
      <w:r>
        <w:rPr>
          <w:rFonts w:ascii="Times New Roman" w:hAnsi="Times New Roman"/>
          <w:sz w:val="20"/>
          <w:szCs w:val="20"/>
          <w:highlight w:val="white"/>
          <w14:ligatures w14:val="none"/>
        </w:rPr>
      </w:r>
    </w:p>
    <w:p>
      <w:pPr>
        <w:ind w:firstLine="709"/>
        <w:jc w:val="both"/>
        <w:rPr>
          <w:rFonts w:ascii="Times New Roman" w:hAnsi="Times New Roman"/>
          <w:sz w:val="20"/>
          <w:szCs w:val="20"/>
          <w:highlight w:val="white"/>
          <w14:ligatures w14:val="none"/>
        </w:rPr>
      </w:pPr>
      <w:r>
        <w:rPr>
          <w:rFonts w:ascii="Times New Roman" w:hAnsi="Times New Roman"/>
          <w:sz w:val="20"/>
          <w:szCs w:val="20"/>
          <w:highlight w:val="white"/>
          <w:lang w:eastAsia="ru-RU"/>
        </w:rPr>
        <w:t xml:space="preserve">- документы, подтверждающие внесение задатка, представление которых признается заключением соглашения о задатке.</w:t>
      </w:r>
      <w:r>
        <w:rPr>
          <w:rFonts w:ascii="Times New Roman" w:hAnsi="Times New Roman"/>
          <w:sz w:val="20"/>
          <w:szCs w:val="20"/>
          <w:highlight w:val="white"/>
          <w14:ligatures w14:val="none"/>
        </w:rPr>
      </w:r>
      <w:r>
        <w:rPr>
          <w:rFonts w:ascii="Times New Roman" w:hAnsi="Times New Roman"/>
          <w:sz w:val="20"/>
          <w:szCs w:val="20"/>
          <w:highlight w:val="white"/>
          <w14:ligatures w14:val="none"/>
        </w:rPr>
      </w:r>
    </w:p>
    <w:p>
      <w:pPr>
        <w:ind w:firstLine="709"/>
        <w:jc w:val="both"/>
        <w:rPr>
          <w:rFonts w:ascii="Times New Roman" w:hAnsi="Times New Roman"/>
          <w:sz w:val="20"/>
          <w:szCs w:val="20"/>
          <w14:ligatures w14:val="none"/>
        </w:rPr>
      </w:pPr>
      <w:r>
        <w:rPr>
          <w:rFonts w:ascii="Times New Roman" w:hAnsi="Times New Roman"/>
          <w:sz w:val="20"/>
          <w:szCs w:val="20"/>
          <w:highlight w:val="white"/>
        </w:rPr>
        <w:t xml:space="preserve">Заявка </w:t>
      </w:r>
      <w:r>
        <w:rPr>
          <w:rFonts w:ascii="Times New Roman" w:hAnsi="Times New Roman"/>
          <w:sz w:val="20"/>
          <w:szCs w:val="20"/>
          <w:highlight w:val="white"/>
        </w:rPr>
        <w:t xml:space="preserve">на участие в электронном аукционе с указанием </w:t>
      </w:r>
      <w:r>
        <w:rPr>
          <w:rFonts w:ascii="Times New Roman" w:hAnsi="Times New Roman"/>
          <w:sz w:val="20"/>
          <w:szCs w:val="20"/>
        </w:rPr>
        <w:t xml:space="preserve">банковских реквизитов счета для возврата задатка направляется оператору электронной площадки </w:t>
      </w:r>
      <w:r>
        <w:rPr>
          <w:rFonts w:ascii="Times New Roman" w:hAnsi="Times New Roman" w:eastAsia="Calibri"/>
          <w:sz w:val="20"/>
          <w:szCs w:val="20"/>
        </w:rPr>
        <w:t xml:space="preserve">на сайте </w:t>
      </w:r>
      <w:hyperlink r:id="rId9" w:tooltip="https://www.rts-tender.ru/" w:history="1">
        <w:r>
          <w:rPr>
            <w:rStyle w:val="779"/>
            <w:rFonts w:ascii="Times New Roman" w:hAnsi="Times New Roman" w:eastAsia="Calibri"/>
            <w:sz w:val="20"/>
            <w:szCs w:val="20"/>
          </w:rPr>
          <w:t xml:space="preserve">https://www.rts-tender.ru/</w:t>
        </w:r>
      </w:hyperlink>
      <w:r>
        <w:rPr>
          <w:rFonts w:ascii="Times New Roman" w:hAnsi="Times New Roman" w:eastAsia="Calibri"/>
          <w:sz w:val="20"/>
          <w:szCs w:val="20"/>
        </w:rPr>
        <w:t xml:space="preserve"> (ООО «РТС-тендер») </w:t>
      </w:r>
      <w:r>
        <w:rPr>
          <w:rFonts w:ascii="Times New Roman" w:hAnsi="Times New Roman"/>
          <w:sz w:val="20"/>
          <w:szCs w:val="20"/>
        </w:rPr>
        <w:t xml:space="preserve">в форме электронного документа с приложением документов. Заявка на участие в электронном аукционе, а также прилагаемые к ней документы подписываются усиленной квалифицированной электронной подписью заяв</w:t>
      </w:r>
      <w:r>
        <w:rPr>
          <w:rFonts w:ascii="Times New Roman" w:hAnsi="Times New Roman"/>
          <w:sz w:val="20"/>
          <w:szCs w:val="20"/>
        </w:rPr>
        <w:t xml:space="preserve">ителя.</w:t>
      </w:r>
      <w:r>
        <w:rPr>
          <w:rFonts w:ascii="Times New Roman" w:hAnsi="Times New Roman"/>
          <w:sz w:val="20"/>
          <w:szCs w:val="20"/>
          <w14:ligatures w14:val="none"/>
        </w:rPr>
      </w:r>
      <w:r>
        <w:rPr>
          <w:rFonts w:ascii="Times New Roman" w:hAnsi="Times New Roman"/>
          <w:sz w:val="20"/>
          <w:szCs w:val="20"/>
          <w14:ligatures w14:val="none"/>
        </w:rPr>
      </w:r>
    </w:p>
    <w:p>
      <w:pPr>
        <w:pStyle w:val="818"/>
        <w:ind w:firstLine="709"/>
        <w:jc w:val="both"/>
        <w:rPr>
          <w:rFonts w:ascii="Times New Roman" w:hAnsi="Times New Roman" w:eastAsia="Calibri"/>
          <w:sz w:val="20"/>
          <w:szCs w:val="20"/>
          <w:highlight w:val="none"/>
        </w:rPr>
      </w:pPr>
      <w:r>
        <w:rPr>
          <w:rFonts w:ascii="Times New Roman" w:hAnsi="Times New Roman" w:eastAsia="Calibri"/>
          <w:sz w:val="20"/>
          <w:szCs w:val="20"/>
          <w:lang w:eastAsia="ru-RU"/>
        </w:rPr>
        <w:t xml:space="preserve">В случа</w:t>
      </w:r>
      <w:r>
        <w:rPr>
          <w:rFonts w:ascii="Times New Roman" w:hAnsi="Times New Roman" w:eastAsia="Calibri"/>
          <w:sz w:val="20"/>
          <w:szCs w:val="20"/>
          <w:lang w:eastAsia="ru-RU"/>
        </w:rPr>
        <w:t xml:space="preserve">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</w:t>
      </w:r>
      <w:r>
        <w:rPr>
          <w:rFonts w:ascii="Times New Roman" w:hAnsi="Times New Roman" w:eastAsia="Calibri"/>
          <w:sz w:val="20"/>
          <w:szCs w:val="20"/>
          <w:highlight w:val="none"/>
        </w:rPr>
      </w:r>
      <w:r>
        <w:rPr>
          <w:rFonts w:ascii="Times New Roman" w:hAnsi="Times New Roman" w:eastAsia="Calibri"/>
          <w:sz w:val="20"/>
          <w:szCs w:val="20"/>
          <w:highlight w:val="none"/>
        </w:rPr>
      </w:r>
    </w:p>
    <w:p>
      <w:pPr>
        <w:pStyle w:val="818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eastAsia="Calibri"/>
          <w:sz w:val="20"/>
          <w:szCs w:val="20"/>
          <w:lang w:eastAsia="ru-RU"/>
        </w:rPr>
        <w:t xml:space="preserve">Одно лицо имеет право подать только одну заявку </w:t>
      </w:r>
      <w:r>
        <w:rPr>
          <w:rFonts w:ascii="Times New Roman" w:hAnsi="Times New Roman"/>
          <w:bCs/>
          <w:sz w:val="20"/>
          <w:szCs w:val="20"/>
        </w:rPr>
        <w:t xml:space="preserve">на один ЛОТ</w:t>
      </w:r>
      <w:r>
        <w:rPr>
          <w:rFonts w:ascii="Times New Roman" w:hAnsi="Times New Roman" w:eastAsia="Calibri"/>
          <w:sz w:val="20"/>
          <w:szCs w:val="20"/>
          <w:lang w:eastAsia="ru-RU"/>
        </w:rPr>
        <w:t xml:space="preserve">.</w: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pStyle w:val="818"/>
        <w:ind w:firstLine="709"/>
        <w:jc w:val="both"/>
        <w:rPr>
          <w:rFonts w:ascii="Times New Roman" w:hAnsi="Times New Roman" w:eastAsia="Calibri"/>
          <w:sz w:val="20"/>
          <w:szCs w:val="20"/>
          <w:highlight w:val="none"/>
          <w14:ligatures w14:val="none"/>
        </w:rPr>
      </w:pPr>
      <w:r>
        <w:rPr>
          <w:rFonts w:ascii="Times New Roman" w:hAnsi="Times New Roman" w:eastAsia="Calibri"/>
          <w:sz w:val="20"/>
          <w:szCs w:val="20"/>
          <w:highlight w:val="none"/>
          <w:lang w:eastAsia="ru-RU"/>
        </w:rPr>
        <w:t xml:space="preserve">Заявка на участие в аукционе, поступившая по истечении срока приема заявок, возвращается заявителю в день ее поступления.</w:t>
      </w:r>
      <w:r>
        <w:rPr>
          <w:rFonts w:ascii="Times New Roman" w:hAnsi="Times New Roman" w:eastAsia="Calibri"/>
          <w:sz w:val="20"/>
          <w:szCs w:val="20"/>
          <w:highlight w:val="none"/>
          <w14:ligatures w14:val="none"/>
        </w:rPr>
      </w:r>
      <w:r>
        <w:rPr>
          <w:rFonts w:ascii="Times New Roman" w:hAnsi="Times New Roman" w:eastAsia="Calibri"/>
          <w:sz w:val="20"/>
          <w:szCs w:val="20"/>
          <w:highlight w:val="none"/>
          <w14:ligatures w14:val="none"/>
        </w:rPr>
      </w:r>
    </w:p>
    <w:p>
      <w:pPr>
        <w:pStyle w:val="818"/>
        <w:ind w:firstLine="709"/>
        <w:jc w:val="both"/>
        <w:rPr>
          <w:rFonts w:ascii="Times New Roman" w:hAnsi="Times New Roman" w:eastAsia="Calibri"/>
          <w:sz w:val="20"/>
          <w:szCs w:val="20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Calibri"/>
          <w:sz w:val="20"/>
          <w:szCs w:val="20"/>
          <w:highlight w:val="none"/>
          <w:lang w:eastAsia="ru-RU"/>
        </w:rPr>
        <w:t xml:space="preserve">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</w:t>
      </w:r>
      <w:r>
        <w:rPr>
          <w:rFonts w:ascii="Times New Roman" w:hAnsi="Times New Roman" w:eastAsia="Calibri"/>
          <w:sz w:val="20"/>
          <w:szCs w:val="20"/>
          <w:highlight w:val="none"/>
          <w:lang w:eastAsia="ru-RU"/>
        </w:rPr>
        <w:t xml:space="preserve">ок в течение трех рабочих дней со дня поступления уведомления об отзыве заявки. В случае отзыва заявки за</w:t>
      </w:r>
      <w:r>
        <w:rPr>
          <w:rFonts w:ascii="Times New Roman" w:hAnsi="Times New Roman" w:eastAsia="Calibri"/>
          <w:sz w:val="20"/>
          <w:szCs w:val="20"/>
          <w:highlight w:val="none"/>
          <w:lang w:eastAsia="ru-RU"/>
        </w:rPr>
        <w:t xml:space="preserve">явителем позднее дня окончания срока приема заявок задаток возвращается в порядке, установленном для участников аукциона.</w:t>
      </w:r>
      <w:r>
        <w:rPr>
          <w:rFonts w:ascii="Times New Roman" w:hAnsi="Times New Roman" w:eastAsia="Calibri"/>
          <w:sz w:val="20"/>
          <w:szCs w:val="20"/>
          <w:highlight w:val="none"/>
          <w14:ligatures w14:val="none"/>
        </w:rPr>
      </w:r>
      <w:r>
        <w:rPr>
          <w:rFonts w:ascii="Times New Roman" w:hAnsi="Times New Roman" w:eastAsia="Calibri"/>
          <w:sz w:val="20"/>
          <w:szCs w:val="20"/>
          <w:highlight w:val="none"/>
          <w14:ligatures w14:val="none"/>
        </w:rPr>
      </w:r>
    </w:p>
    <w:p>
      <w:pPr>
        <w:pStyle w:val="818"/>
        <w:ind w:firstLine="709"/>
        <w:jc w:val="both"/>
        <w:rPr>
          <w:rFonts w:ascii="Times New Roman" w:hAnsi="Times New Roman" w:eastAsia="Calibri"/>
          <w:sz w:val="20"/>
          <w:szCs w:val="20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Calibri"/>
          <w:sz w:val="20"/>
          <w:szCs w:val="20"/>
          <w:highlight w:val="none"/>
          <w:lang w:eastAsia="ru-RU"/>
        </w:rPr>
        <w:t xml:space="preserve">Заявитель не допускается к участию в аукционе в следующих случаях:</w:t>
      </w:r>
      <w:r>
        <w:rPr>
          <w:rFonts w:ascii="Times New Roman" w:hAnsi="Times New Roman" w:eastAsia="Calibri"/>
          <w:sz w:val="20"/>
          <w:szCs w:val="20"/>
          <w:highlight w:val="none"/>
          <w14:ligatures w14:val="none"/>
        </w:rPr>
      </w:r>
      <w:r>
        <w:rPr>
          <w:rFonts w:ascii="Times New Roman" w:hAnsi="Times New Roman" w:eastAsia="Calibri"/>
          <w:sz w:val="20"/>
          <w:szCs w:val="20"/>
          <w:highlight w:val="none"/>
          <w14:ligatures w14:val="none"/>
        </w:rPr>
      </w:r>
    </w:p>
    <w:p>
      <w:pPr>
        <w:pStyle w:val="818"/>
        <w:ind w:firstLine="709"/>
        <w:jc w:val="both"/>
        <w:rPr>
          <w:rFonts w:ascii="Times New Roman" w:hAnsi="Times New Roman" w:eastAsia="Calibri"/>
          <w:sz w:val="20"/>
          <w:szCs w:val="20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Calibri"/>
          <w:sz w:val="20"/>
          <w:szCs w:val="20"/>
          <w:highlight w:val="none"/>
          <w:lang w:eastAsia="ru-RU"/>
        </w:rPr>
      </w:r>
      <w:r>
        <w:rPr>
          <w:rFonts w:ascii="Times New Roman" w:hAnsi="Times New Roman" w:eastAsia="Calibri"/>
          <w:sz w:val="20"/>
          <w:szCs w:val="20"/>
          <w:highlight w:val="none"/>
          <w:lang w:eastAsia="ru-RU"/>
        </w:rPr>
        <w:t xml:space="preserve">- непредставление необходимых для участия в аукционе документов или представление недостоверных сведений;</w:t>
      </w:r>
      <w:r>
        <w:rPr>
          <w:rFonts w:ascii="Times New Roman" w:hAnsi="Times New Roman" w:eastAsia="Calibri"/>
          <w:sz w:val="20"/>
          <w:szCs w:val="20"/>
          <w:highlight w:val="none"/>
          <w14:ligatures w14:val="none"/>
        </w:rPr>
      </w:r>
      <w:r>
        <w:rPr>
          <w:rFonts w:ascii="Times New Roman" w:hAnsi="Times New Roman" w:eastAsia="Calibri"/>
          <w:sz w:val="20"/>
          <w:szCs w:val="20"/>
          <w:highlight w:val="none"/>
          <w14:ligatures w14:val="none"/>
        </w:rPr>
      </w:r>
    </w:p>
    <w:p>
      <w:pPr>
        <w:pStyle w:val="818"/>
        <w:ind w:firstLine="709"/>
        <w:jc w:val="both"/>
        <w:rPr>
          <w:rFonts w:ascii="Times New Roman" w:hAnsi="Times New Roman" w:eastAsia="Calibri"/>
          <w:sz w:val="20"/>
          <w:szCs w:val="20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Calibri"/>
          <w:sz w:val="20"/>
          <w:szCs w:val="20"/>
          <w:highlight w:val="none"/>
          <w:lang w:eastAsia="ru-RU"/>
        </w:rPr>
        <w:t xml:space="preserve">- непоступление задатка на дату рассмотрения заявок на участие в аукционе;</w:t>
      </w:r>
      <w:r>
        <w:rPr>
          <w:rFonts w:ascii="Times New Roman" w:hAnsi="Times New Roman" w:eastAsia="Calibri"/>
          <w:sz w:val="20"/>
          <w:szCs w:val="20"/>
          <w:highlight w:val="none"/>
          <w14:ligatures w14:val="none"/>
        </w:rPr>
      </w:r>
      <w:r>
        <w:rPr>
          <w:rFonts w:ascii="Times New Roman" w:hAnsi="Times New Roman" w:eastAsia="Calibri"/>
          <w:sz w:val="20"/>
          <w:szCs w:val="20"/>
          <w:highlight w:val="none"/>
          <w14:ligatures w14:val="none"/>
        </w:rPr>
      </w:r>
    </w:p>
    <w:p>
      <w:pPr>
        <w:pStyle w:val="818"/>
        <w:ind w:firstLine="709"/>
        <w:jc w:val="both"/>
        <w:rPr>
          <w:rFonts w:ascii="Times New Roman" w:hAnsi="Times New Roman" w:eastAsia="Calibri"/>
          <w:sz w:val="20"/>
          <w:szCs w:val="20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Calibri"/>
          <w:sz w:val="20"/>
          <w:szCs w:val="20"/>
          <w:highlight w:val="none"/>
          <w:lang w:eastAsia="ru-RU"/>
        </w:rPr>
        <w:t xml:space="preserve">- подача заявки на участие в аукционе лицом, которое в соответствии с настоящим Кодексом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</w:r>
      <w:r>
        <w:rPr>
          <w:rFonts w:ascii="Times New Roman" w:hAnsi="Times New Roman" w:eastAsia="Calibri"/>
          <w:sz w:val="20"/>
          <w:szCs w:val="20"/>
          <w:highlight w:val="none"/>
          <w14:ligatures w14:val="none"/>
        </w:rPr>
      </w:r>
      <w:r>
        <w:rPr>
          <w:rFonts w:ascii="Times New Roman" w:hAnsi="Times New Roman" w:eastAsia="Calibri"/>
          <w:sz w:val="20"/>
          <w:szCs w:val="20"/>
          <w:highlight w:val="none"/>
          <w14:ligatures w14:val="none"/>
        </w:rPr>
      </w:r>
    </w:p>
    <w:p>
      <w:pPr>
        <w:pStyle w:val="818"/>
        <w:ind w:firstLine="709"/>
        <w:jc w:val="both"/>
        <w:rPr>
          <w:rFonts w:ascii="Times New Roman" w:hAnsi="Times New Roman" w:eastAsia="Calibri"/>
          <w:sz w:val="20"/>
          <w:szCs w:val="20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Calibri"/>
          <w:sz w:val="20"/>
          <w:szCs w:val="20"/>
          <w:highlight w:val="none"/>
          <w:lang w:eastAsia="ru-RU"/>
        </w:rPr>
        <w:t xml:space="preserve">-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настоящей стат</w:t>
      </w:r>
      <w:r>
        <w:rPr>
          <w:rFonts w:ascii="Times New Roman" w:hAnsi="Times New Roman" w:eastAsia="Calibri"/>
          <w:sz w:val="20"/>
          <w:szCs w:val="20"/>
          <w:highlight w:val="none"/>
          <w:lang w:eastAsia="ru-RU"/>
        </w:rPr>
        <w:t xml:space="preserve">ьей реестре недобросовестных участников аукциона.</w:t>
      </w:r>
      <w:r>
        <w:rPr>
          <w:rFonts w:ascii="Times New Roman" w:hAnsi="Times New Roman" w:eastAsia="Calibri"/>
          <w:sz w:val="20"/>
          <w:szCs w:val="20"/>
          <w:highlight w:val="none"/>
          <w14:ligatures w14:val="none"/>
        </w:rPr>
      </w:r>
      <w:r>
        <w:rPr>
          <w:rFonts w:ascii="Times New Roman" w:hAnsi="Times New Roman" w:eastAsia="Calibri"/>
          <w:sz w:val="20"/>
          <w:szCs w:val="20"/>
          <w:highlight w:val="none"/>
          <w14:ligatures w14:val="none"/>
        </w:rPr>
      </w:r>
    </w:p>
    <w:p>
      <w:pPr>
        <w:pStyle w:val="818"/>
        <w:ind w:firstLine="709"/>
        <w:jc w:val="both"/>
        <w:rPr>
          <w:rFonts w:ascii="Times New Roman" w:hAnsi="Times New Roman"/>
          <w:sz w:val="20"/>
          <w:szCs w:val="20"/>
          <w:highlight w:val="white"/>
        </w:rPr>
      </w:pPr>
      <w:r>
        <w:rPr>
          <w:rFonts w:ascii="Times New Roman" w:hAnsi="Times New Roman" w:eastAsia="Calibri"/>
          <w:b/>
          <w:sz w:val="20"/>
          <w:szCs w:val="20"/>
          <w:highlight w:val="white"/>
          <w:lang w:eastAsia="ru-RU"/>
        </w:rPr>
        <w:t xml:space="preserve">Д</w:t>
      </w:r>
      <w:r>
        <w:rPr>
          <w:rFonts w:ascii="Times New Roman" w:hAnsi="Times New Roman" w:eastAsia="Calibri"/>
          <w:b/>
          <w:sz w:val="20"/>
          <w:szCs w:val="20"/>
          <w:highlight w:val="white"/>
          <w:lang w:eastAsia="ru-RU"/>
        </w:rPr>
        <w:t xml:space="preserve">ата и время начала подачи заявок: 20 марта</w:t>
      </w:r>
      <w:r>
        <w:rPr>
          <w:rFonts w:ascii="Times New Roman" w:hAnsi="Times New Roman" w:eastAsia="Calibri"/>
          <w:b/>
          <w:sz w:val="20"/>
          <w:szCs w:val="20"/>
          <w:highlight w:val="white"/>
          <w:lang w:eastAsia="ru-RU"/>
        </w:rPr>
        <w:t xml:space="preserve"> 2025 года с 10 час 00 мин. по местному времени.</w:t>
      </w:r>
      <w:r>
        <w:rPr>
          <w:rFonts w:ascii="Times New Roman" w:hAnsi="Times New Roman"/>
          <w:sz w:val="20"/>
          <w:szCs w:val="20"/>
          <w:highlight w:val="white"/>
        </w:rPr>
      </w:r>
      <w:r>
        <w:rPr>
          <w:rFonts w:ascii="Times New Roman" w:hAnsi="Times New Roman"/>
          <w:sz w:val="20"/>
          <w:szCs w:val="20"/>
          <w:highlight w:val="white"/>
        </w:rPr>
      </w:r>
    </w:p>
    <w:p>
      <w:pPr>
        <w:pStyle w:val="818"/>
        <w:ind w:firstLine="709"/>
        <w:jc w:val="both"/>
        <w:rPr>
          <w:rFonts w:ascii="Times New Roman" w:hAnsi="Times New Roman"/>
          <w:sz w:val="20"/>
          <w:szCs w:val="20"/>
          <w:highlight w:val="white"/>
        </w:rPr>
      </w:pPr>
      <w:r>
        <w:rPr>
          <w:rFonts w:ascii="Times New Roman" w:hAnsi="Times New Roman" w:eastAsia="Calibri"/>
          <w:b/>
          <w:sz w:val="20"/>
          <w:szCs w:val="20"/>
          <w:highlight w:val="white"/>
          <w:lang w:eastAsia="ru-RU"/>
        </w:rPr>
        <w:t xml:space="preserve">Дата и время окончания подачи заявок: 4 апреля </w:t>
      </w:r>
      <w:r>
        <w:rPr>
          <w:rFonts w:ascii="Times New Roman" w:hAnsi="Times New Roman" w:eastAsia="Calibri"/>
          <w:b/>
          <w:sz w:val="20"/>
          <w:szCs w:val="20"/>
          <w:highlight w:val="white"/>
          <w:lang w:eastAsia="ru-RU"/>
        </w:rPr>
        <w:t xml:space="preserve">202</w:t>
      </w:r>
      <w:r>
        <w:rPr>
          <w:rFonts w:ascii="Times New Roman" w:hAnsi="Times New Roman" w:eastAsia="Calibri"/>
          <w:b/>
          <w:sz w:val="20"/>
          <w:szCs w:val="20"/>
          <w:highlight w:val="white"/>
          <w:lang w:eastAsia="ru-RU"/>
        </w:rPr>
        <w:t xml:space="preserve">5 года в 18 час 00 мин. по местному времени.</w:t>
      </w:r>
      <w:r>
        <w:rPr>
          <w:rFonts w:ascii="Times New Roman" w:hAnsi="Times New Roman"/>
          <w:sz w:val="20"/>
          <w:szCs w:val="20"/>
          <w:highlight w:val="white"/>
        </w:rPr>
      </w:r>
      <w:r>
        <w:rPr>
          <w:rFonts w:ascii="Times New Roman" w:hAnsi="Times New Roman"/>
          <w:sz w:val="20"/>
          <w:szCs w:val="20"/>
          <w:highlight w:val="white"/>
        </w:rPr>
      </w:r>
    </w:p>
    <w:p>
      <w:pPr>
        <w:pStyle w:val="751"/>
        <w:ind w:firstLine="709"/>
        <w:jc w:val="both"/>
        <w:rPr>
          <w:sz w:val="20"/>
          <w:szCs w:val="20"/>
        </w:rPr>
      </w:pP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7. </w:t>
      </w:r>
      <w:r>
        <w:rPr>
          <w:rFonts w:ascii="Times New Roman" w:hAnsi="Times New Roman"/>
          <w:b/>
          <w:sz w:val="20"/>
          <w:szCs w:val="20"/>
          <w:shd w:val="clear" w:color="auto" w:fill="ffffff"/>
        </w:rPr>
        <w:t xml:space="preserve">Срок, место и порядок предоставления информационного сообщения</w:t>
      </w: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, электронный адрес сайта в информационно-телекоммуникационной сети Интернет </w:t>
      </w:r>
      <w:hyperlink r:id="rId10" w:tooltip="http://www.rts-tender.ru/" w:history="1">
        <w:r>
          <w:rPr>
            <w:rStyle w:val="779"/>
            <w:rFonts w:ascii="Times New Roman" w:hAnsi="Times New Roman"/>
            <w:sz w:val="20"/>
            <w:szCs w:val="20"/>
            <w:lang w:val="en-US"/>
          </w:rPr>
          <w:t xml:space="preserve">www</w:t>
        </w:r>
        <w:r>
          <w:rPr>
            <w:rStyle w:val="779"/>
            <w:rFonts w:ascii="Times New Roman" w:hAnsi="Times New Roman"/>
            <w:sz w:val="20"/>
            <w:szCs w:val="20"/>
          </w:rPr>
          <w:t xml:space="preserve">. </w:t>
        </w:r>
        <w:r>
          <w:rPr>
            <w:rStyle w:val="779"/>
            <w:rFonts w:ascii="Times New Roman" w:hAnsi="Times New Roman"/>
            <w:sz w:val="20"/>
            <w:szCs w:val="20"/>
            <w:lang w:val="en-US"/>
          </w:rPr>
          <w:t xml:space="preserve">i</w:t>
        </w:r>
        <w:r>
          <w:rPr>
            <w:rStyle w:val="779"/>
            <w:rFonts w:ascii="Times New Roman" w:hAnsi="Times New Roman"/>
            <w:sz w:val="20"/>
            <w:szCs w:val="20"/>
          </w:rPr>
          <w:t xml:space="preserve">.</w:t>
        </w:r>
        <w:r>
          <w:rPr>
            <w:rStyle w:val="779"/>
            <w:rFonts w:ascii="Times New Roman" w:hAnsi="Times New Roman"/>
            <w:sz w:val="20"/>
            <w:szCs w:val="20"/>
            <w:lang w:val="en-US"/>
          </w:rPr>
          <w:t xml:space="preserve">rts</w:t>
        </w:r>
        <w:r>
          <w:rPr>
            <w:rStyle w:val="779"/>
            <w:rFonts w:ascii="Times New Roman" w:hAnsi="Times New Roman"/>
            <w:sz w:val="20"/>
            <w:szCs w:val="20"/>
          </w:rPr>
          <w:t xml:space="preserve">-</w:t>
        </w:r>
        <w:r>
          <w:rPr>
            <w:rStyle w:val="779"/>
            <w:rFonts w:ascii="Times New Roman" w:hAnsi="Times New Roman"/>
            <w:sz w:val="20"/>
            <w:szCs w:val="20"/>
            <w:lang w:val="en-US"/>
          </w:rPr>
          <w:t xml:space="preserve">tender</w:t>
        </w:r>
        <w:r>
          <w:rPr>
            <w:rStyle w:val="779"/>
            <w:rFonts w:ascii="Times New Roman" w:hAnsi="Times New Roman"/>
            <w:sz w:val="20"/>
            <w:szCs w:val="20"/>
          </w:rPr>
          <w:t xml:space="preserve">.</w:t>
        </w:r>
        <w:r>
          <w:rPr>
            <w:rStyle w:val="779"/>
            <w:rFonts w:ascii="Times New Roman" w:hAnsi="Times New Roman"/>
            <w:sz w:val="20"/>
            <w:szCs w:val="20"/>
            <w:lang w:val="en-US"/>
          </w:rPr>
          <w:t xml:space="preserve">ru</w:t>
        </w:r>
      </w:hyperlink>
      <w:r>
        <w:rPr>
          <w:rFonts w:ascii="Times New Roman" w:hAnsi="Times New Roman"/>
          <w:sz w:val="20"/>
          <w:szCs w:val="20"/>
        </w:rPr>
        <w:t xml:space="preserve">  (ООО «РТС-тендер»)</w:t>
      </w: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, на котором размещается </w:t>
      </w: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информационное сообщение: информационное сообщение размещается на официальных сайтах торгов и на электронной площадке. С информационным сообщением можно ознакомиться с даты размещения информационного сообщения на официальных сайтах: на официальном сайте Ро</w:t>
      </w: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ссийской Федерации для размещения информации о проведении торгов, определенном Правительством Российской Федерации, на официальном сайте Администрации города Костромы, а также на электронной площадке </w:t>
      </w:r>
      <w:r>
        <w:rPr>
          <w:rFonts w:ascii="Times New Roman" w:hAnsi="Times New Roman"/>
          <w:sz w:val="20"/>
          <w:szCs w:val="20"/>
          <w:shd w:val="clear" w:color="auto" w:fill="ffffff"/>
        </w:rPr>
      </w:r>
      <w:hyperlink r:id="rId11" w:tooltip="http://www.rts-tender.ru" w:history="1">
        <w:r>
          <w:rPr>
            <w:rStyle w:val="779"/>
            <w:rFonts w:ascii="Times New Roman" w:hAnsi="Times New Roman"/>
            <w:sz w:val="20"/>
            <w:szCs w:val="20"/>
            <w:shd w:val="clear" w:color="auto" w:fill="ffffff"/>
          </w:rPr>
          <w:t xml:space="preserve">www.rts-tender.ru</w:t>
        </w:r>
        <w:r>
          <w:rPr>
            <w:rStyle w:val="779"/>
          </w:rPr>
        </w:r>
        <w:r>
          <w:rPr>
            <w:rStyle w:val="779"/>
            <w:rFonts w:ascii="Times New Roman" w:hAnsi="Times New Roman"/>
            <w:sz w:val="20"/>
            <w:szCs w:val="20"/>
            <w:shd w:val="clear" w:color="auto" w:fill="ffffff"/>
          </w:rPr>
        </w:r>
      </w:hyperlink>
      <w:r>
        <w:rPr>
          <w:rFonts w:ascii="Times New Roman" w:hAnsi="Times New Roman"/>
          <w:sz w:val="20"/>
          <w:szCs w:val="20"/>
          <w:shd w:val="clear" w:color="auto" w:fill="ffffff"/>
        </w:rPr>
        <w:t xml:space="preserve"> до даты окончания приема заявок.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751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8. </w:t>
      </w:r>
      <w:r>
        <w:rPr>
          <w:rFonts w:ascii="Times New Roman" w:hAnsi="Times New Roman"/>
          <w:b/>
          <w:sz w:val="20"/>
          <w:szCs w:val="20"/>
          <w:shd w:val="clear" w:color="auto" w:fill="ffffff"/>
        </w:rPr>
        <w:t xml:space="preserve">Порядок внесения и возврата задатка, банковские реквизиты счета для перечисления задатка.</w: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pStyle w:val="751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Порядок внесения задатка определяется регламентом работы электронной площадки Организатора www.rts-tender.ru.</w: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ind w:firstLine="709"/>
        <w:jc w:val="both"/>
        <w:rPr>
          <w:sz w:val="20"/>
          <w:szCs w:val="20"/>
        </w:rPr>
      </w:pPr>
      <w:r>
        <w:rPr>
          <w:rFonts w:ascii="Times New Roman" w:hAnsi="Times New Roman"/>
          <w:sz w:val="20"/>
          <w:szCs w:val="20"/>
          <w:lang w:eastAsia="en-US"/>
        </w:rPr>
        <w:t xml:space="preserve">Д</w:t>
      </w:r>
      <w:r>
        <w:rPr>
          <w:rFonts w:ascii="Times New Roman" w:hAnsi="Times New Roman"/>
          <w:sz w:val="20"/>
          <w:szCs w:val="20"/>
          <w:lang w:eastAsia="en-US"/>
        </w:rPr>
        <w:t xml:space="preserve">ля участия в аукционе в электронной форме</w:t>
      </w:r>
      <w:r>
        <w:rPr>
          <w:rFonts w:ascii="Times New Roman" w:hAnsi="Times New Roman"/>
          <w:sz w:val="20"/>
          <w:szCs w:val="20"/>
          <w:lang w:eastAsia="en-US"/>
        </w:rPr>
        <w:t xml:space="preserve"> установлено требование о внесении задатка. В целях исполнения данного требования Заявитель обеспечивает наличие денежных средств на счёте Оператора электронной площадки в размере, не менее суммы задатка, установленного в настоящей аукционной документации.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firstLine="709"/>
        <w:jc w:val="both"/>
        <w:rPr>
          <w:sz w:val="20"/>
          <w:szCs w:val="20"/>
        </w:rPr>
      </w:pPr>
      <w:r>
        <w:rPr>
          <w:rFonts w:ascii="Times New Roman" w:hAnsi="Times New Roman"/>
          <w:sz w:val="20"/>
          <w:szCs w:val="20"/>
          <w:lang w:eastAsia="en-US"/>
        </w:rPr>
        <w:t xml:space="preserve">За</w:t>
      </w:r>
      <w:r>
        <w:rPr>
          <w:rFonts w:ascii="Times New Roman" w:hAnsi="Times New Roman"/>
          <w:sz w:val="20"/>
          <w:szCs w:val="20"/>
          <w:lang w:eastAsia="en-US"/>
        </w:rPr>
        <w:t xml:space="preserve">числение денежных средств на счёт Оператора электронной площадки производится </w:t>
      </w:r>
      <w:r>
        <w:rPr>
          <w:rFonts w:ascii="Times New Roman" w:hAnsi="Times New Roman"/>
          <w:sz w:val="20"/>
          <w:szCs w:val="20"/>
          <w:lang w:eastAsia="en-US"/>
        </w:rPr>
        <w:t xml:space="preserve">в срок до даты рассмотрения заявок</w:t>
      </w: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 (не позднее: </w:t>
      </w:r>
      <w:r>
        <w:rPr>
          <w:rFonts w:ascii="Times New Roman" w:hAnsi="Times New Roman"/>
          <w:b/>
          <w:sz w:val="20"/>
          <w:szCs w:val="20"/>
          <w:highlight w:val="none"/>
          <w:shd w:val="clear" w:color="auto" w:fill="ffffff"/>
        </w:rPr>
        <w:t xml:space="preserve">8 апреля</w:t>
      </w:r>
      <w:r>
        <w:rPr>
          <w:rFonts w:ascii="Times New Roman" w:hAnsi="Times New Roman"/>
          <w:b/>
          <w:sz w:val="20"/>
          <w:szCs w:val="20"/>
          <w:highlight w:val="white"/>
          <w:shd w:val="clear" w:color="auto" w:fill="ffffff"/>
        </w:rPr>
        <w:t xml:space="preserve"> 202</w:t>
      </w:r>
      <w:r>
        <w:rPr>
          <w:rFonts w:ascii="Times New Roman" w:hAnsi="Times New Roman"/>
          <w:b/>
          <w:sz w:val="20"/>
          <w:szCs w:val="20"/>
          <w:highlight w:val="white"/>
          <w:shd w:val="clear" w:color="auto" w:fill="ffffff"/>
        </w:rPr>
        <w:t xml:space="preserve">5 года 10 час. 00 мин</w:t>
      </w:r>
      <w:r>
        <w:rPr>
          <w:rFonts w:ascii="Times New Roman" w:hAnsi="Times New Roman"/>
          <w:sz w:val="20"/>
          <w:szCs w:val="20"/>
          <w:highlight w:val="white"/>
          <w:shd w:val="clear" w:color="auto" w:fill="ffffff"/>
        </w:rPr>
        <w:t xml:space="preserve"> время московское)</w:t>
      </w:r>
      <w:r>
        <w:rPr>
          <w:rFonts w:ascii="Times New Roman" w:hAnsi="Times New Roman"/>
          <w:sz w:val="20"/>
          <w:szCs w:val="20"/>
          <w:lang w:eastAsia="en-US"/>
        </w:rPr>
        <w:t xml:space="preserve"> в соответствии с Регламентом Оператора электронной площадки, размещенными на электронной площадке по следующим реквизитам: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firstLine="709"/>
        <w:jc w:val="both"/>
        <w:rPr>
          <w:sz w:val="20"/>
          <w:szCs w:val="20"/>
        </w:rPr>
      </w:pPr>
      <w:r>
        <w:rPr>
          <w:rFonts w:ascii="Times New Roman" w:hAnsi="Times New Roman"/>
          <w:sz w:val="20"/>
          <w:szCs w:val="20"/>
          <w:lang w:eastAsia="en-US"/>
        </w:rPr>
        <w:t xml:space="preserve">Получатель платежа: ООО «РТС-тендер»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firstLine="709"/>
        <w:jc w:val="both"/>
        <w:rPr>
          <w:sz w:val="20"/>
          <w:szCs w:val="20"/>
        </w:rPr>
      </w:pPr>
      <w:r>
        <w:rPr>
          <w:rFonts w:ascii="Times New Roman" w:hAnsi="Times New Roman"/>
          <w:sz w:val="20"/>
          <w:szCs w:val="20"/>
          <w:lang w:eastAsia="en-US"/>
        </w:rPr>
        <w:t xml:space="preserve">Банковские реквизиты: Филиал «Корпоративный» ПАО «</w:t>
      </w:r>
      <w:r>
        <w:rPr>
          <w:rFonts w:ascii="Times New Roman" w:hAnsi="Times New Roman"/>
          <w:sz w:val="20"/>
          <w:szCs w:val="20"/>
          <w:lang w:eastAsia="en-US"/>
        </w:rPr>
        <w:t xml:space="preserve">Совкомбанк</w:t>
      </w:r>
      <w:r>
        <w:rPr>
          <w:rFonts w:ascii="Times New Roman" w:hAnsi="Times New Roman"/>
          <w:sz w:val="20"/>
          <w:szCs w:val="20"/>
          <w:lang w:eastAsia="en-US"/>
        </w:rPr>
        <w:t xml:space="preserve">»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firstLine="709"/>
        <w:jc w:val="both"/>
        <w:rPr>
          <w:sz w:val="20"/>
          <w:szCs w:val="20"/>
        </w:rPr>
      </w:pPr>
      <w:r>
        <w:rPr>
          <w:rFonts w:ascii="Times New Roman" w:hAnsi="Times New Roman"/>
          <w:sz w:val="20"/>
          <w:szCs w:val="20"/>
          <w:lang w:eastAsia="en-US"/>
        </w:rPr>
        <w:t xml:space="preserve">БИК 044525360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firstLine="709"/>
        <w:jc w:val="both"/>
        <w:rPr>
          <w:sz w:val="20"/>
          <w:szCs w:val="20"/>
        </w:rPr>
      </w:pPr>
      <w:r>
        <w:rPr>
          <w:rFonts w:ascii="Times New Roman" w:hAnsi="Times New Roman"/>
          <w:sz w:val="20"/>
          <w:szCs w:val="20"/>
          <w:lang w:eastAsia="en-US"/>
        </w:rPr>
        <w:t xml:space="preserve">Расчётный счёт: 40702810512030016362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firstLine="709"/>
        <w:jc w:val="both"/>
        <w:rPr>
          <w:sz w:val="20"/>
          <w:szCs w:val="20"/>
        </w:rPr>
      </w:pPr>
      <w:r>
        <w:rPr>
          <w:rFonts w:ascii="Times New Roman" w:hAnsi="Times New Roman"/>
          <w:sz w:val="20"/>
          <w:szCs w:val="20"/>
          <w:lang w:eastAsia="en-US"/>
        </w:rPr>
        <w:t xml:space="preserve">Корр. счёт 30101810445250000360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firstLine="709"/>
        <w:jc w:val="both"/>
        <w:rPr>
          <w:sz w:val="20"/>
          <w:szCs w:val="20"/>
        </w:rPr>
      </w:pPr>
      <w:r>
        <w:rPr>
          <w:rFonts w:ascii="Times New Roman" w:hAnsi="Times New Roman"/>
          <w:sz w:val="20"/>
          <w:szCs w:val="20"/>
          <w:lang w:eastAsia="en-US"/>
        </w:rPr>
        <w:t xml:space="preserve">ИНН 7710357167 КПП 773001001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firstLine="709"/>
        <w:jc w:val="both"/>
        <w:rPr>
          <w:sz w:val="20"/>
          <w:szCs w:val="20"/>
        </w:rPr>
      </w:pPr>
      <w:r>
        <w:rPr>
          <w:rFonts w:ascii="Times New Roman" w:hAnsi="Times New Roman"/>
          <w:sz w:val="20"/>
          <w:szCs w:val="20"/>
          <w:lang w:eastAsia="en-US"/>
        </w:rPr>
        <w:t xml:space="preserve">Назначение платежа: «Внесение гарантийного обеспечения по Соглашению о внесении гарантийного обеспечения, № аналитического счета, без НДС». 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firstLine="709"/>
        <w:jc w:val="both"/>
        <w:rPr>
          <w:sz w:val="20"/>
          <w:szCs w:val="20"/>
        </w:rPr>
      </w:pPr>
      <w:r>
        <w:rPr>
          <w:rFonts w:ascii="Times New Roman" w:hAnsi="Times New Roman"/>
          <w:sz w:val="20"/>
          <w:szCs w:val="20"/>
          <w:lang w:eastAsia="en-US"/>
        </w:rPr>
        <w:t xml:space="preserve">Денежные средства, перечисленные в соответствии с Регламентом Оператора электронной площадки, размещенными на электронной площадке на счет Оператора электронной площадки, учитываются на счете Заявителя, открытом у Оператора электронной площадки.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firstLine="709"/>
        <w:jc w:val="both"/>
        <w:rPr>
          <w:sz w:val="20"/>
          <w:szCs w:val="20"/>
        </w:rPr>
      </w:pPr>
      <w:r>
        <w:rPr>
          <w:rFonts w:ascii="Times New Roman" w:hAnsi="Times New Roman"/>
          <w:sz w:val="20"/>
          <w:szCs w:val="20"/>
          <w:lang w:eastAsia="en-US"/>
        </w:rPr>
        <w:t xml:space="preserve">Денежные средства в размере, равном задатку, блокируются Оператором электронной площадки на счете Заявителя в соответствии с Регл</w:t>
      </w:r>
      <w:r>
        <w:rPr>
          <w:rFonts w:ascii="Times New Roman" w:hAnsi="Times New Roman"/>
          <w:sz w:val="20"/>
          <w:szCs w:val="20"/>
          <w:lang w:eastAsia="en-US"/>
        </w:rPr>
        <w:t xml:space="preserve">аментом Оператора электронной площадки, размещенными на электронной площадке. Основанием для блокирования денежных средств является Заявка, направленная Оператору электронной площадки. Заблокированные на счете Заявителя денежные средства являются задатком.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firstLine="709"/>
        <w:jc w:val="both"/>
        <w:rPr>
          <w:sz w:val="20"/>
          <w:szCs w:val="20"/>
        </w:rPr>
      </w:pPr>
      <w:r>
        <w:rPr>
          <w:rFonts w:ascii="Times New Roman" w:hAnsi="Times New Roman"/>
          <w:sz w:val="20"/>
          <w:szCs w:val="20"/>
          <w:lang w:eastAsia="en-US"/>
        </w:rPr>
        <w:t xml:space="preserve">Подача Заявки и блокирование задатка является заключением соглашения о задатке.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firstLine="709"/>
        <w:jc w:val="both"/>
        <w:rPr>
          <w:sz w:val="20"/>
          <w:szCs w:val="20"/>
          <w:highlight w:val="none"/>
        </w:rPr>
      </w:pPr>
      <w:r>
        <w:rPr>
          <w:rFonts w:ascii="Times New Roman" w:hAnsi="Times New Roman"/>
          <w:sz w:val="20"/>
          <w:szCs w:val="20"/>
          <w:lang w:eastAsia="en-US"/>
        </w:rPr>
        <w:t xml:space="preserve">В случае если денежных средств на счете Заявителя недостаточно, Оператором электронной площадки Заявка не принимается.</w:t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  <w:highlight w:val="none"/>
        </w:rPr>
        <w:t xml:space="preserve">Заявителю необходимо обеспечить на своем аналитическом счете</w:t>
      </w:r>
      <w:r>
        <w:rPr>
          <w:sz w:val="20"/>
          <w:szCs w:val="20"/>
          <w:highlight w:val="none"/>
        </w:rPr>
        <w:t xml:space="preserve"> наличие денежных средств в размере: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  <w:highlight w:val="none"/>
        </w:rPr>
        <w:t xml:space="preserve">- задатка для участия в аукционе на дату рассмотрения заявок</w:t>
      </w:r>
      <w:r>
        <w:rPr>
          <w:sz w:val="20"/>
          <w:szCs w:val="20"/>
          <w:highlight w:val="none"/>
        </w:rPr>
        <w:t xml:space="preserve">;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  <w:highlight w:val="none"/>
        </w:rPr>
        <w:t xml:space="preserve">- гарантийного обеспечения оплаты оказания услуг к моменту подачи заявки</w:t>
      </w:r>
      <w:r>
        <w:rPr>
          <w:sz w:val="20"/>
          <w:szCs w:val="20"/>
          <w:highlight w:val="none"/>
        </w:rPr>
        <w:t xml:space="preserve">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firstLine="709"/>
        <w:jc w:val="both"/>
        <w:rPr>
          <w:sz w:val="20"/>
          <w:szCs w:val="20"/>
        </w:rPr>
      </w:pPr>
      <w:r>
        <w:rPr>
          <w:rFonts w:ascii="Times New Roman" w:hAnsi="Times New Roman"/>
          <w:sz w:val="20"/>
          <w:szCs w:val="20"/>
          <w:lang w:eastAsia="en-US"/>
        </w:rPr>
        <w:t xml:space="preserve">Прекращение блокирования денежных средств на счете Заявителя в соответствии с Регламентом Оператора электронной площадки, размещенными на электронной площадке производится Оператором электронной площадки в следующем порядке: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firstLine="709"/>
        <w:jc w:val="both"/>
        <w:rPr>
          <w:sz w:val="20"/>
          <w:szCs w:val="20"/>
        </w:rPr>
      </w:pPr>
      <w:r>
        <w:rPr>
          <w:rFonts w:ascii="Times New Roman" w:hAnsi="Times New Roman"/>
          <w:sz w:val="20"/>
          <w:szCs w:val="20"/>
          <w:lang w:eastAsia="en-US"/>
        </w:rPr>
        <w:t xml:space="preserve">-</w:t>
      </w:r>
      <w:r>
        <w:rPr>
          <w:rFonts w:ascii="Times New Roman" w:hAnsi="Times New Roman"/>
          <w:sz w:val="20"/>
          <w:szCs w:val="20"/>
          <w:lang w:eastAsia="en-US"/>
        </w:rPr>
        <w:tab/>
        <w:t xml:space="preserve">для Заявителя, отозвавшего Заявку до окончания срока приема Заявок, - в течение 3 (трех) рабочих дней со дня поступления уведомления об отзыве Заявки в соответствии с Регламентом Оператора электронной площадки, размещенными на электронной площадке;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firstLine="709"/>
        <w:jc w:val="both"/>
        <w:rPr>
          <w:rFonts w:ascii="Times New Roman" w:hAnsi="Times New Roman"/>
          <w:sz w:val="20"/>
          <w:szCs w:val="20"/>
          <w14:ligatures w14:val="none"/>
        </w:rPr>
      </w:pPr>
      <w:r>
        <w:rPr>
          <w:rFonts w:ascii="Times New Roman" w:hAnsi="Times New Roman"/>
          <w:sz w:val="20"/>
          <w:szCs w:val="20"/>
          <w:lang w:eastAsia="en-US"/>
        </w:rPr>
        <w:t xml:space="preserve">-</w:t>
      </w:r>
      <w:r>
        <w:rPr>
          <w:rFonts w:ascii="Times New Roman" w:hAnsi="Times New Roman"/>
          <w:sz w:val="20"/>
          <w:szCs w:val="20"/>
          <w:lang w:eastAsia="en-US"/>
        </w:rPr>
        <w:tab/>
        <w:t xml:space="preserve">для Заявителя, не допущенного к участи</w:t>
      </w:r>
      <w:r>
        <w:rPr>
          <w:rFonts w:ascii="Times New Roman" w:hAnsi="Times New Roman"/>
          <w:sz w:val="20"/>
          <w:szCs w:val="20"/>
          <w:lang w:eastAsia="en-US"/>
        </w:rPr>
        <w:t xml:space="preserve">ю в аукционе в электронной форме, - в течение 3 (трех)</w:t>
      </w:r>
      <w:r>
        <w:rPr>
          <w:rFonts w:ascii="Times New Roman" w:hAnsi="Times New Roman"/>
          <w:sz w:val="20"/>
          <w:szCs w:val="20"/>
          <w:lang w:eastAsia="en-US"/>
        </w:rPr>
        <w:t xml:space="preserve"> рабочих дней со дня оформления Протокола рассмотрения заявок на участие в аукционе в электр</w:t>
      </w:r>
      <w:r>
        <w:rPr>
          <w:rFonts w:ascii="Times New Roman" w:hAnsi="Times New Roman"/>
          <w:sz w:val="20"/>
          <w:szCs w:val="20"/>
          <w:lang w:eastAsia="en-US"/>
        </w:rPr>
        <w:t xml:space="preserve">онной форме в соответствии с Регламентом Оператора электронной площадки, размещенными на электронной площадке;</w:t>
      </w:r>
      <w:r>
        <w:rPr>
          <w:rFonts w:ascii="Times New Roman" w:hAnsi="Times New Roman"/>
          <w:sz w:val="20"/>
          <w:szCs w:val="20"/>
          <w14:ligatures w14:val="none"/>
        </w:rPr>
      </w:r>
      <w:r>
        <w:rPr>
          <w:rFonts w:ascii="Times New Roman" w:hAnsi="Times New Roman"/>
          <w:sz w:val="20"/>
          <w:szCs w:val="20"/>
          <w14:ligatures w14:val="none"/>
        </w:rPr>
      </w:r>
    </w:p>
    <w:p>
      <w:pPr>
        <w:ind w:firstLine="709"/>
        <w:jc w:val="both"/>
        <w:rPr>
          <w:rFonts w:ascii="Times New Roman" w:hAnsi="Times New Roman"/>
          <w:sz w:val="20"/>
          <w:szCs w:val="20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/>
          <w:sz w:val="20"/>
          <w:szCs w:val="20"/>
          <w:lang w:eastAsia="en-US"/>
        </w:rPr>
        <w:t xml:space="preserve">-</w:t>
      </w:r>
      <w:r>
        <w:rPr>
          <w:rFonts w:ascii="Times New Roman" w:hAnsi="Times New Roman"/>
          <w:sz w:val="20"/>
          <w:szCs w:val="20"/>
          <w:lang w:eastAsia="en-US"/>
        </w:rPr>
        <w:tab/>
        <w:t xml:space="preserve">для Участников, участвовавших в а</w:t>
      </w:r>
      <w:r>
        <w:rPr>
          <w:rFonts w:ascii="Times New Roman" w:hAnsi="Times New Roman"/>
          <w:sz w:val="20"/>
          <w:szCs w:val="20"/>
          <w:lang w:eastAsia="en-US"/>
        </w:rPr>
        <w:t xml:space="preserve">укционе в электронной форме, но не победивших в нем, - в течение 3 (трех) рабочих дней со дня подпи</w:t>
      </w:r>
      <w:r>
        <w:rPr>
          <w:rFonts w:ascii="Times New Roman" w:hAnsi="Times New Roman"/>
          <w:sz w:val="20"/>
          <w:szCs w:val="20"/>
          <w:lang w:eastAsia="en-US"/>
        </w:rPr>
        <w:t xml:space="preserve">сания Протокола о результатах аукциона в электронной форме в соответствии с Регламентом Оператора электронной площадки, размещенными на электронной площадке, за исключением участника аукциона, который сделал предпоследнее предложение о цене предмета аукцио</w:t>
      </w:r>
      <w:r>
        <w:rPr>
          <w:rFonts w:ascii="Times New Roman" w:hAnsi="Times New Roman"/>
          <w:sz w:val="20"/>
          <w:szCs w:val="20"/>
          <w:lang w:eastAsia="en-US"/>
        </w:rPr>
        <w:t xml:space="preserve">на. </w:t>
      </w:r>
      <w:r>
        <w:rPr>
          <w:rFonts w:ascii="Times New Roman" w:hAnsi="Times New Roman"/>
          <w:sz w:val="20"/>
          <w:szCs w:val="20"/>
          <w:lang w:eastAsia="en-US"/>
        </w:rPr>
        <w:t xml:space="preserve">Задаток, внесенный таким участником, возвращается ему в течение трех дней со дня подписания договора аренды земельного участка победителем аукциона.</w:t>
      </w:r>
      <w:r>
        <w:rPr>
          <w:rFonts w:ascii="Times New Roman" w:hAnsi="Times New Roman"/>
          <w:sz w:val="20"/>
          <w:szCs w:val="20"/>
          <w14:ligatures w14:val="none"/>
        </w:rPr>
      </w:r>
      <w:r>
        <w:rPr>
          <w:rFonts w:ascii="Times New Roman" w:hAnsi="Times New Roman"/>
          <w:sz w:val="20"/>
          <w:szCs w:val="20"/>
          <w14:ligatures w14:val="none"/>
        </w:rPr>
      </w:r>
    </w:p>
    <w:p>
      <w:pPr>
        <w:ind w:firstLine="709"/>
        <w:jc w:val="both"/>
        <w:rPr>
          <w:rFonts w:ascii="Times New Roman" w:hAnsi="Times New Roman"/>
          <w:sz w:val="20"/>
          <w:szCs w:val="20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/>
          <w:sz w:val="20"/>
          <w:szCs w:val="20"/>
          <w:lang w:eastAsia="en-US"/>
        </w:rPr>
        <w:t xml:space="preserve">Задаток, внесенный лицом, признанным победителем аукциона, задаток, внесенный иным лицом, с которым договор аренды земельного участка заключается в соответствии с </w:t>
      </w:r>
      <w:r>
        <w:rPr>
          <w:rFonts w:ascii="Times New Roman" w:hAnsi="Times New Roman"/>
          <w:sz w:val="20"/>
          <w:szCs w:val="20"/>
          <w:lang w:eastAsia="en-US"/>
        </w:rPr>
        <w:t xml:space="preserve">пунктом 13</w:t>
      </w:r>
      <w:r>
        <w:rPr>
          <w:rFonts w:ascii="Times New Roman" w:hAnsi="Times New Roman"/>
          <w:sz w:val="20"/>
          <w:szCs w:val="20"/>
          <w:lang w:eastAsia="en-US"/>
        </w:rPr>
        <w:t xml:space="preserve">, </w:t>
      </w:r>
      <w:r>
        <w:rPr>
          <w:rFonts w:ascii="Times New Roman" w:hAnsi="Times New Roman"/>
          <w:sz w:val="20"/>
          <w:szCs w:val="20"/>
          <w:lang w:eastAsia="en-US"/>
        </w:rPr>
        <w:t xml:space="preserve">14</w:t>
      </w:r>
      <w:r>
        <w:rPr>
          <w:rFonts w:ascii="Times New Roman" w:hAnsi="Times New Roman"/>
          <w:sz w:val="20"/>
          <w:szCs w:val="20"/>
          <w:lang w:eastAsia="en-US"/>
        </w:rPr>
        <w:t xml:space="preserve">, </w:t>
      </w:r>
      <w:r>
        <w:rPr>
          <w:rFonts w:ascii="Times New Roman" w:hAnsi="Times New Roman"/>
          <w:sz w:val="20"/>
          <w:szCs w:val="20"/>
          <w:lang w:eastAsia="en-US"/>
        </w:rPr>
        <w:t xml:space="preserve">20</w:t>
      </w:r>
      <w:r>
        <w:rPr>
          <w:rFonts w:ascii="Times New Roman" w:hAnsi="Times New Roman"/>
          <w:sz w:val="20"/>
          <w:szCs w:val="20"/>
          <w:lang w:eastAsia="en-US"/>
        </w:rPr>
        <w:t xml:space="preserve"> или </w:t>
      </w:r>
      <w:r>
        <w:rPr>
          <w:rFonts w:ascii="Times New Roman" w:hAnsi="Times New Roman"/>
          <w:sz w:val="20"/>
          <w:szCs w:val="20"/>
          <w:lang w:eastAsia="en-US"/>
        </w:rPr>
        <w:t xml:space="preserve">25</w:t>
      </w:r>
      <w:r>
        <w:rPr>
          <w:rFonts w:ascii="Times New Roman" w:hAnsi="Times New Roman"/>
          <w:sz w:val="20"/>
          <w:szCs w:val="20"/>
          <w:lang w:eastAsia="en-US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Земельного кодекса Российской Федерации (далее – Кодекс)</w:t>
      </w:r>
      <w:r>
        <w:rPr>
          <w:rFonts w:ascii="Times New Roman" w:hAnsi="Times New Roman"/>
          <w:sz w:val="20"/>
          <w:szCs w:val="20"/>
          <w:lang w:eastAsia="en-US"/>
        </w:rPr>
        <w:t xml:space="preserve">, засчитываются в оплату приобретаемого земельного участка.</w:t>
      </w:r>
      <w:r>
        <w:rPr>
          <w:rFonts w:ascii="Times New Roman" w:hAnsi="Times New Roman"/>
          <w:sz w:val="20"/>
          <w:szCs w:val="20"/>
          <w14:ligatures w14:val="none"/>
        </w:rPr>
      </w:r>
      <w:r>
        <w:rPr>
          <w:rFonts w:ascii="Times New Roman" w:hAnsi="Times New Roman"/>
          <w:sz w:val="20"/>
          <w:szCs w:val="20"/>
          <w14:ligatures w14:val="none"/>
        </w:rPr>
      </w:r>
    </w:p>
    <w:p>
      <w:pPr>
        <w:ind w:firstLine="709"/>
        <w:jc w:val="both"/>
        <w:rPr>
          <w:rFonts w:ascii="Times New Roman" w:hAnsi="Times New Roman"/>
          <w:sz w:val="20"/>
          <w:szCs w:val="20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/>
          <w:sz w:val="20"/>
          <w:szCs w:val="20"/>
          <w:lang w:eastAsia="en-US"/>
        </w:rPr>
        <w:t xml:space="preserve">Задатки, внесенные этими лицами, не заключившими в установленном настоящей статьей порядке договора аренды земельного </w:t>
      </w:r>
      <w:r>
        <w:rPr>
          <w:rFonts w:ascii="Times New Roman" w:hAnsi="Times New Roman"/>
          <w:sz w:val="20"/>
          <w:szCs w:val="20"/>
          <w:lang w:eastAsia="en-US"/>
        </w:rPr>
        <w:t xml:space="preserve">участка вследствие уклонения от заключения указанных договоров, не возвращаются</w:t>
      </w:r>
      <w:r>
        <w:rPr>
          <w:rFonts w:ascii="Times New Roman" w:hAnsi="Times New Roman"/>
          <w:sz w:val="20"/>
          <w:szCs w:val="20"/>
          <w:lang w:eastAsia="en-US"/>
        </w:rPr>
        <w:t xml:space="preserve">.</w:t>
      </w:r>
      <w:r>
        <w:rPr>
          <w:rFonts w:ascii="Times New Roman" w:hAnsi="Times New Roman"/>
          <w:sz w:val="20"/>
          <w:szCs w:val="20"/>
          <w14:ligatures w14:val="none"/>
        </w:rPr>
      </w:r>
      <w:r>
        <w:rPr>
          <w:rFonts w:ascii="Times New Roman" w:hAnsi="Times New Roman"/>
          <w:sz w:val="20"/>
          <w:szCs w:val="20"/>
          <w14:ligatures w14:val="none"/>
        </w:rPr>
      </w:r>
    </w:p>
    <w:p>
      <w:pPr>
        <w:pStyle w:val="751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9. Осмотр земельного участка осуществляется претендентами самостоятельно по месту нахождения участка.</w: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pStyle w:val="751"/>
        <w:ind w:firstLine="709"/>
        <w:jc w:val="both"/>
        <w:rPr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10. Вз</w:t>
      </w:r>
      <w:r>
        <w:rPr>
          <w:rFonts w:ascii="Times New Roman" w:hAnsi="Times New Roman"/>
          <w:sz w:val="20"/>
          <w:szCs w:val="20"/>
        </w:rPr>
        <w:t xml:space="preserve">имание оператором электронной площадки с победителя электронного аукциона или иных лиц, с которыми в соответствии с пунктами 13, 14, 20 и 25 статьи 39.12 Кодекса заключается договор аренды земельного </w:t>
      </w:r>
      <w:r>
        <w:rPr>
          <w:rFonts w:ascii="Times New Roman" w:hAnsi="Times New Roman"/>
          <w:sz w:val="20"/>
          <w:szCs w:val="20"/>
        </w:rPr>
        <w:t xml:space="preserve">участка, находящегося в государственной или муниципальной собственности, платы за участие в электронном аукционе производится в соответствии с регламентом и иными регулирующими документами оператора электронной площадки </w:t>
      </w:r>
      <w:hyperlink r:id="rId12" w:tooltip="https://www.rts-tender.ru/" w:history="1">
        <w:r>
          <w:rPr>
            <w:rStyle w:val="779"/>
            <w:rFonts w:ascii="Times New Roman" w:hAnsi="Times New Roman"/>
            <w:sz w:val="20"/>
            <w:szCs w:val="20"/>
          </w:rPr>
          <w:t xml:space="preserve">https://www.rts-tender.ru/</w:t>
        </w:r>
      </w:hyperlink>
      <w:r>
        <w:rPr>
          <w:rFonts w:ascii="Times New Roman" w:hAnsi="Times New Roman"/>
          <w:sz w:val="20"/>
          <w:szCs w:val="20"/>
        </w:rPr>
        <w:t xml:space="preserve"> (ООО «РТС-тендер») во вкладке ТАРИФЫ/ИМУЩЕСТВЕННЫЕ ТОРГИ.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751"/>
        <w:ind w:firstLine="709"/>
        <w:jc w:val="both"/>
        <w:rPr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11</w:t>
      </w:r>
      <w:r>
        <w:rPr>
          <w:rFonts w:ascii="Times New Roman" w:hAnsi="Times New Roman"/>
          <w:b/>
          <w:sz w:val="20"/>
          <w:szCs w:val="20"/>
        </w:rPr>
        <w:t xml:space="preserve">.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  <w:highlight w:val="white"/>
        </w:rPr>
        <w:t xml:space="preserve">М</w:t>
      </w:r>
      <w:r>
        <w:rPr>
          <w:rFonts w:ascii="Times New Roman" w:hAnsi="Times New Roman"/>
          <w:b/>
          <w:sz w:val="20"/>
          <w:szCs w:val="20"/>
          <w:highlight w:val="white"/>
        </w:rPr>
        <w:t xml:space="preserve">есто, дата, время и порядок определения участников аукциона: 8 апреля</w:t>
      </w:r>
      <w:r>
        <w:rPr>
          <w:rFonts w:ascii="Times New Roman" w:hAnsi="Times New Roman"/>
          <w:b/>
          <w:sz w:val="20"/>
          <w:szCs w:val="20"/>
          <w:highlight w:val="white"/>
        </w:rPr>
        <w:t xml:space="preserve"> 202</w:t>
      </w:r>
      <w:r>
        <w:rPr>
          <w:rFonts w:ascii="Times New Roman" w:hAnsi="Times New Roman"/>
          <w:b/>
          <w:sz w:val="20"/>
          <w:szCs w:val="20"/>
          <w:highlight w:val="white"/>
        </w:rPr>
        <w:t xml:space="preserve">5 года в 10 час. 00 мин</w:t>
      </w:r>
      <w:r>
        <w:rPr>
          <w:rFonts w:ascii="Times New Roman" w:hAnsi="Times New Roman"/>
          <w:sz w:val="20"/>
          <w:szCs w:val="20"/>
          <w:highlight w:val="white"/>
        </w:rPr>
        <w:t xml:space="preserve">. На электронной площадке </w:t>
      </w:r>
      <w:hyperlink r:id="rId13" w:tooltip="http://www.rts-tender.ru/" w:history="1">
        <w:r>
          <w:rPr>
            <w:rStyle w:val="779"/>
            <w:rFonts w:ascii="Times New Roman" w:hAnsi="Times New Roman"/>
            <w:sz w:val="20"/>
            <w:szCs w:val="20"/>
            <w:highlight w:val="white"/>
          </w:rPr>
          <w:t xml:space="preserve">www.rts-tend</w:t>
        </w:r>
        <w:r>
          <w:rPr>
            <w:rStyle w:val="779"/>
            <w:rFonts w:ascii="Times New Roman" w:hAnsi="Times New Roman"/>
            <w:sz w:val="20"/>
            <w:szCs w:val="20"/>
            <w:highlight w:val="white"/>
          </w:rPr>
          <w:t xml:space="preserve">er.ru</w:t>
        </w:r>
      </w:hyperlink>
      <w:r>
        <w:rPr>
          <w:rFonts w:ascii="Times New Roman" w:hAnsi="Times New Roman"/>
          <w:sz w:val="20"/>
          <w:szCs w:val="20"/>
          <w:highlight w:val="white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(ООО «РТС-тендер»).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751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Организатор рассматривает заявки и документы заявителей (претендентов) и устанавливает факт поступления на счёт установленных сумм задатков.</w: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pStyle w:val="751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Определение участников аукциона проводится без участия заявителей (претендентов). </w: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pStyle w:val="751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По результатам рассмотрения заявок и документов организатор принимает решение о признании заявителей участниками аукциона.</w: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pStyle w:val="751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Заявитель, допущенный к участию в аукционе, приобретает статус участника аукциона с момента оформления организатором протокола рассмотрения заявок на участие в аукционе.</w: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pStyle w:val="751"/>
        <w:ind w:firstLine="709"/>
        <w:jc w:val="both"/>
        <w:rPr>
          <w:sz w:val="20"/>
          <w:szCs w:val="20"/>
        </w:rPr>
      </w:pPr>
      <w:r>
        <w:rPr>
          <w:rFonts w:ascii="Times New Roman" w:hAnsi="Times New Roman"/>
          <w:sz w:val="20"/>
          <w:szCs w:val="20"/>
          <w:highlight w:val="white"/>
        </w:rPr>
        <w:t xml:space="preserve">12. </w:t>
      </w:r>
      <w:r>
        <w:rPr>
          <w:rFonts w:ascii="Times New Roman" w:hAnsi="Times New Roman"/>
          <w:b/>
          <w:bCs/>
          <w:sz w:val="20"/>
          <w:szCs w:val="20"/>
          <w:highlight w:val="white"/>
        </w:rPr>
        <w:t xml:space="preserve">Дата, место, время и порядок проведения аукциона:</w:t>
      </w:r>
      <w:r>
        <w:rPr>
          <w:rFonts w:ascii="Times New Roman" w:hAnsi="Times New Roman"/>
          <w:b/>
          <w:bCs/>
          <w:sz w:val="20"/>
          <w:szCs w:val="20"/>
          <w:highlight w:val="white"/>
        </w:rPr>
        <w:t xml:space="preserve"> 9 апреля</w:t>
      </w:r>
      <w:r>
        <w:rPr>
          <w:rFonts w:ascii="Times New Roman" w:hAnsi="Times New Roman"/>
          <w:b/>
          <w:bCs/>
          <w:sz w:val="20"/>
          <w:szCs w:val="20"/>
          <w:highlight w:val="white"/>
        </w:rPr>
        <w:t xml:space="preserve"> </w:t>
      </w:r>
      <w:r>
        <w:rPr>
          <w:rFonts w:ascii="Times New Roman" w:hAnsi="Times New Roman"/>
          <w:b/>
          <w:bCs/>
          <w:sz w:val="20"/>
          <w:szCs w:val="20"/>
          <w:highlight w:val="white"/>
        </w:rPr>
        <w:t xml:space="preserve">202</w:t>
      </w:r>
      <w:r>
        <w:rPr>
          <w:rFonts w:ascii="Times New Roman" w:hAnsi="Times New Roman"/>
          <w:b/>
          <w:bCs/>
          <w:sz w:val="20"/>
          <w:szCs w:val="20"/>
          <w:highlight w:val="white"/>
        </w:rPr>
        <w:t xml:space="preserve">5 года в 10 час. 00 мин. </w:t>
      </w:r>
      <w:r>
        <w:rPr>
          <w:rFonts w:ascii="Times New Roman" w:hAnsi="Times New Roman"/>
          <w:sz w:val="20"/>
          <w:szCs w:val="20"/>
          <w:highlight w:val="white"/>
        </w:rPr>
        <w:t xml:space="preserve">на электронной площадке </w:t>
      </w:r>
      <w:hyperlink r:id="rId14" w:tooltip="https://www.rts-tender.ru/" w:history="1">
        <w:r>
          <w:rPr>
            <w:rFonts w:ascii="Times New Roman" w:hAnsi="Times New Roman"/>
            <w:color w:val="0000ff"/>
            <w:sz w:val="20"/>
            <w:szCs w:val="20"/>
            <w:highlight w:val="white"/>
            <w:u w:val="single"/>
          </w:rPr>
          <w:t xml:space="preserve">https://www.rts-tender</w:t>
        </w:r>
        <w:r>
          <w:rPr>
            <w:rFonts w:ascii="Times New Roman" w:hAnsi="Times New Roman"/>
            <w:color w:val="0000ff"/>
            <w:sz w:val="20"/>
            <w:szCs w:val="20"/>
            <w:highlight w:val="white"/>
            <w:u w:val="single"/>
          </w:rPr>
          <w:t xml:space="preserve">.ru/</w:t>
        </w:r>
      </w:hyperlink>
      <w:r>
        <w:rPr>
          <w:rFonts w:ascii="Times New Roman" w:hAnsi="Times New Roman"/>
          <w:sz w:val="20"/>
          <w:szCs w:val="20"/>
        </w:rPr>
        <w:t xml:space="preserve"> (ООО «РТС-тендер») в соответствии с регламентом электронной площадки.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firstLine="709"/>
        <w:jc w:val="both"/>
        <w:rPr>
          <w:rFonts w:ascii="Times New Roman" w:hAnsi="Times New Roman"/>
          <w:sz w:val="20"/>
          <w:szCs w:val="20"/>
          <w14:ligatures w14:val="none"/>
        </w:rPr>
      </w:pPr>
      <w:r>
        <w:rPr>
          <w:rFonts w:ascii="Times New Roman" w:hAnsi="Times New Roman"/>
          <w:sz w:val="20"/>
          <w:szCs w:val="20"/>
        </w:rPr>
        <w:t xml:space="preserve">13. Победителем признается учас</w:t>
      </w:r>
      <w:r>
        <w:rPr>
          <w:rFonts w:ascii="Times New Roman" w:hAnsi="Times New Roman"/>
          <w:sz w:val="20"/>
          <w:szCs w:val="20"/>
        </w:rPr>
        <w:t xml:space="preserve">тник, предложивший в ходе аукциона наибольшую цену.</w: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  <w14:ligatures w14:val="none"/>
        </w:rPr>
      </w:r>
    </w:p>
    <w:p>
      <w:pPr>
        <w:ind w:firstLine="709"/>
        <w:jc w:val="both"/>
        <w:rPr>
          <w:rFonts w:ascii="Times New Roman" w:hAnsi="Times New Roman"/>
          <w:sz w:val="20"/>
          <w:szCs w:val="20"/>
          <w14:ligatures w14:val="none"/>
        </w:rPr>
      </w:pPr>
      <w:r>
        <w:rPr>
          <w:rFonts w:ascii="Times New Roman" w:hAnsi="Times New Roman"/>
          <w:sz w:val="20"/>
          <w:szCs w:val="20"/>
        </w:rPr>
        <w:t xml:space="preserve">Время ожидания предложения участника электронного аукциона о цене предмета аукциона составляет десять минут. При поступлении предложения участника электронного аукциона о повышении цены предмета аукциона время, оставшееся до истечения указанного срока, обн</w:t>
      </w:r>
      <w:r>
        <w:rPr>
          <w:rFonts w:ascii="Times New Roman" w:hAnsi="Times New Roman"/>
          <w:sz w:val="20"/>
          <w:szCs w:val="20"/>
        </w:rPr>
        <w:t xml:space="preserve">овляется до десяти минут. Если в течение указанного времени ни одного предложения о более высокой цене предмета аукциона не поступило, электронный аукцион завершается.</w:t>
      </w:r>
      <w:r>
        <w:rPr>
          <w:rFonts w:ascii="Times New Roman" w:hAnsi="Times New Roman"/>
          <w:sz w:val="20"/>
          <w:szCs w:val="20"/>
          <w14:ligatures w14:val="none"/>
        </w:rPr>
      </w:r>
      <w:r/>
    </w:p>
    <w:p>
      <w:pPr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/>
          <w:sz w:val="20"/>
          <w:szCs w:val="20"/>
        </w:rPr>
        <w:t xml:space="preserve">14. </w:t>
      </w:r>
      <w:r>
        <w:rPr>
          <w:rFonts w:ascii="Times New Roman" w:hAnsi="Times New Roman"/>
          <w:sz w:val="20"/>
          <w:szCs w:val="20"/>
          <w14:ligatures w14:val="none"/>
        </w:rPr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 результатам проведения электронного аукциона договор аренды земельного участка, находящегося в государственной или муниципальной собственности, заключается в электронной форме и подписывается усиленной квалифици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рованной электронной подписью сторон такого договора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.</w:t>
      </w:r>
      <w:r>
        <w:rPr>
          <w:rFonts w:ascii="Times New Roman" w:hAnsi="Times New Roman" w:cs="Times New Roman"/>
          <w:color w:val="000000"/>
          <w:sz w:val="20"/>
          <w:szCs w:val="20"/>
          <w14:ligatures w14:val="none"/>
        </w:rPr>
      </w:r>
      <w:r>
        <w:rPr>
          <w:rFonts w:ascii="Times New Roman" w:hAnsi="Times New Roman" w:cs="Times New Roman"/>
          <w:color w:val="000000"/>
          <w:sz w:val="20"/>
          <w:szCs w:val="20"/>
          <w14:ligatures w14:val="none"/>
        </w:rPr>
      </w:r>
    </w:p>
    <w:p>
      <w:pPr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 случае, если в аукционе участвовал только один участник или при проведении аукциона не присутствовал ни один из участников аукциона, либо не поступило ни одного п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редложения о цене предмета аукциона, которое предусматривало бы более высокую цену предмета аукциона, аукцион признается несосто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явшимся.</w:t>
      </w:r>
      <w:r>
        <w:rPr>
          <w:rFonts w:ascii="Times New Roman" w:hAnsi="Times New Roman" w:cs="Times New Roman"/>
          <w:color w:val="000000"/>
          <w:sz w:val="20"/>
          <w:szCs w:val="20"/>
        </w:rPr>
      </w:r>
      <w:r/>
    </w:p>
    <w:p>
      <w:pPr>
        <w:ind w:firstLine="851"/>
        <w:jc w:val="both"/>
        <w:rPr>
          <w:rFonts w:ascii="Times New Roman" w:hAnsi="Times New Roman" w:cs="Times New Roman"/>
          <w:color w:val="000000"/>
          <w:sz w:val="20"/>
          <w:szCs w:val="20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В случае, если аукцион признан несостоявшимся и только один заявитель признан участником аукциона, Организатор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в течение десяти дней со дня подписания протокола рассмотрения заявок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направляет заявителю  проекта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договор аренды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земельного участка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(Приложение 2)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При этом договор аренды земельного участка заключается по начальной цене предмета аукциона (пункт 13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статьи 39.12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Кодекса).</w:t>
      </w:r>
      <w:r>
        <w:rPr>
          <w:rFonts w:ascii="Times New Roman" w:hAnsi="Times New Roman" w:cs="Times New Roman"/>
          <w:color w:val="000000"/>
          <w14:ligatures w14:val="none"/>
        </w:rPr>
      </w:r>
      <w:r>
        <w:rPr>
          <w:rFonts w:ascii="Times New Roman" w:hAnsi="Times New Roman" w:cs="Times New Roman"/>
          <w:color w:val="000000"/>
          <w14:ligatures w14:val="none"/>
        </w:rPr>
      </w:r>
    </w:p>
    <w:p>
      <w:pPr>
        <w:ind w:firstLine="851"/>
        <w:jc w:val="both"/>
        <w:rPr>
          <w:rFonts w:ascii="Times New Roman" w:hAnsi="Times New Roman" w:cs="Times New Roman"/>
          <w:color w:val="000000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Если единственная заявка на участие в аукционе соответствует указанным в извещении о проведении аукциона условиям и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лицо, подавшее указанную заявку, соответствуют требованиям к участникам аукциона, указанным в извещении о проведении аукциона, Организатор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заключает с таким лицом договор аренды земельного участка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 начальной цене предмета,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 порядке и на усло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виях, указанных выше (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пункт 14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статьи 39.12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Кодекса)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.</w:t>
      </w:r>
      <w:r>
        <w:rPr>
          <w:rFonts w:ascii="Times New Roman" w:hAnsi="Times New Roman" w:cs="Times New Roman"/>
          <w:color w:val="000000"/>
          <w14:ligatures w14:val="none"/>
        </w:rPr>
      </w:r>
      <w:r>
        <w:rPr>
          <w:rFonts w:ascii="Times New Roman" w:hAnsi="Times New Roman" w:cs="Times New Roman"/>
          <w:color w:val="000000"/>
          <w14:ligatures w14:val="none"/>
        </w:rPr>
      </w:r>
    </w:p>
    <w:p>
      <w:pPr>
        <w:ind w:firstLine="709"/>
        <w:jc w:val="both"/>
        <w:rPr>
          <w:rFonts w:ascii="Times New Roman" w:hAnsi="Times New Roman"/>
          <w:sz w:val="20"/>
          <w:szCs w:val="20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  <w:t xml:space="preserve">Организатор направляет победителю аукциона или единственному принявшему участие в аукционе его участнику  подписанный проекта договора аренды земельного участка в пятидневный срок со дня составлени</w:t>
      </w:r>
      <w:r>
        <w:rPr>
          <w:rFonts w:ascii="Times New Roman" w:hAnsi="Times New Roman"/>
          <w:sz w:val="20"/>
          <w:szCs w:val="20"/>
        </w:rPr>
        <w:t xml:space="preserve">я протокола о результатах аукциона</w:t>
      </w:r>
      <w:r>
        <w:rPr>
          <w:rFonts w:ascii="Times New Roman" w:hAnsi="Times New Roman"/>
          <w:sz w:val="20"/>
          <w:szCs w:val="20"/>
        </w:rPr>
        <w:t xml:space="preserve">.</w:t>
      </w:r>
      <w:r>
        <w:rPr>
          <w:rFonts w:ascii="Times New Roman" w:hAnsi="Times New Roman"/>
          <w:sz w:val="20"/>
          <w:szCs w:val="20"/>
          <w:highlight w:val="none"/>
          <w14:ligatures w14:val="none"/>
        </w:rPr>
      </w:r>
      <w:r>
        <w:rPr>
          <w:rFonts w:ascii="Times New Roman" w:hAnsi="Times New Roman"/>
          <w:sz w:val="20"/>
          <w:szCs w:val="20"/>
          <w:highlight w:val="none"/>
          <w14:ligatures w14:val="none"/>
        </w:rPr>
      </w:r>
    </w:p>
    <w:p>
      <w:pPr>
        <w:ind w:firstLine="709"/>
        <w:jc w:val="both"/>
        <w:rPr>
          <w:rFonts w:ascii="Times New Roman" w:hAnsi="Times New Roman"/>
          <w:sz w:val="20"/>
          <w:szCs w:val="20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/>
          <w:sz w:val="20"/>
          <w:szCs w:val="20"/>
        </w:rPr>
        <w:t xml:space="preserve">При этом договор аренды земельного участка заключается по цене, предложенной победителем аукциона, или в случае заключения указанного договора с единственным принявшим участие в аукционе его участником по начальной цене предмета аукциона</w:t>
      </w:r>
      <w:r>
        <w:rPr>
          <w:rFonts w:ascii="Times New Roman" w:hAnsi="Times New Roman"/>
          <w:sz w:val="20"/>
          <w:szCs w:val="20"/>
        </w:rPr>
        <w:t xml:space="preserve">. </w:t>
      </w:r>
      <w:r>
        <w:rPr>
          <w:rFonts w:ascii="Times New Roman" w:hAnsi="Times New Roman"/>
          <w:sz w:val="20"/>
          <w:szCs w:val="20"/>
          <w14:ligatures w14:val="none"/>
        </w:rPr>
      </w:r>
      <w:r>
        <w:rPr>
          <w:rFonts w:ascii="Times New Roman" w:hAnsi="Times New Roman"/>
          <w:sz w:val="20"/>
          <w:szCs w:val="20"/>
          <w14:ligatures w14:val="none"/>
        </w:rPr>
      </w:r>
    </w:p>
    <w:p>
      <w:pPr>
        <w:ind w:firstLine="709"/>
        <w:jc w:val="both"/>
        <w:rPr>
          <w:rFonts w:ascii="Times New Roman" w:hAnsi="Times New Roman"/>
          <w:sz w:val="20"/>
          <w:szCs w:val="20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/>
          <w:sz w:val="20"/>
          <w:szCs w:val="20"/>
        </w:rPr>
        <w:t xml:space="preserve">Не допускается заключение указанных договоров ранее чем через 10 (десять) дней со дня размещения информации о результатах аукциона на официальном сайте, в том числе договоров, указанных в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пунктах 13</w:t>
      </w:r>
      <w:r>
        <w:rPr>
          <w:rFonts w:ascii="Times New Roman" w:hAnsi="Times New Roman"/>
          <w:sz w:val="20"/>
          <w:szCs w:val="20"/>
        </w:rPr>
        <w:t xml:space="preserve"> и </w:t>
      </w:r>
      <w:r>
        <w:rPr>
          <w:rFonts w:ascii="Times New Roman" w:hAnsi="Times New Roman"/>
          <w:sz w:val="20"/>
          <w:szCs w:val="20"/>
        </w:rPr>
        <w:t xml:space="preserve">14</w:t>
      </w:r>
      <w:r>
        <w:rPr>
          <w:rFonts w:ascii="Times New Roman" w:hAnsi="Times New Roman"/>
          <w:sz w:val="20"/>
          <w:szCs w:val="20"/>
        </w:rPr>
        <w:t xml:space="preserve"> Кодекса.</w:t>
      </w:r>
      <w:r>
        <w:rPr>
          <w:rFonts w:ascii="Times New Roman" w:hAnsi="Times New Roman"/>
          <w:sz w:val="20"/>
          <w:szCs w:val="20"/>
          <w14:ligatures w14:val="none"/>
        </w:rPr>
      </w:r>
      <w:r>
        <w:rPr>
          <w:rFonts w:ascii="Times New Roman" w:hAnsi="Times New Roman"/>
          <w:sz w:val="20"/>
          <w:szCs w:val="20"/>
          <w14:ligatures w14:val="none"/>
        </w:rPr>
      </w:r>
    </w:p>
    <w:p>
      <w:pPr>
        <w:ind w:firstLine="709"/>
        <w:jc w:val="both"/>
        <w:rPr>
          <w:rFonts w:ascii="Times New Roman" w:hAnsi="Times New Roman"/>
          <w:sz w:val="20"/>
          <w:szCs w:val="20"/>
          <w14:ligatures w14:val="none"/>
        </w:rPr>
      </w:pPr>
      <w:r>
        <w:rPr>
          <w:rFonts w:ascii="Times New Roman" w:hAnsi="Times New Roman"/>
          <w:sz w:val="20"/>
          <w:szCs w:val="20"/>
          <w:lang w:eastAsia="en-US"/>
        </w:rPr>
        <w:t xml:space="preserve">Победитель аукциона в электронной форме или иное лицо, с которым заключается договор аренды</w:t>
      </w:r>
      <w:r>
        <w:rPr>
          <w:rFonts w:ascii="Times New Roman" w:hAnsi="Times New Roman"/>
          <w:sz w:val="20"/>
          <w:szCs w:val="20"/>
          <w:lang w:eastAsia="en-US"/>
        </w:rPr>
        <w:t xml:space="preserve"> земельного участка в соответствии с К</w:t>
      </w:r>
      <w:r>
        <w:rPr>
          <w:rFonts w:ascii="Times New Roman" w:hAnsi="Times New Roman"/>
          <w:sz w:val="20"/>
          <w:szCs w:val="20"/>
          <w:lang w:eastAsia="en-US"/>
        </w:rPr>
        <w:t xml:space="preserve">одексом, обязаны подписать договор в течение 10 (десяти) рабочих дней со дня направления им такого договора.</w:t>
      </w:r>
      <w:r>
        <w:rPr>
          <w:rFonts w:ascii="Times New Roman" w:hAnsi="Times New Roman"/>
          <w:sz w:val="20"/>
          <w:szCs w:val="20"/>
          <w14:ligatures w14:val="none"/>
        </w:rPr>
      </w:r>
      <w:r>
        <w:rPr>
          <w:rFonts w:ascii="Times New Roman" w:hAnsi="Times New Roman"/>
          <w:sz w:val="20"/>
          <w:szCs w:val="20"/>
          <w14:ligatures w14:val="none"/>
        </w:rPr>
      </w:r>
    </w:p>
    <w:p>
      <w:pPr>
        <w:ind w:firstLine="709"/>
        <w:jc w:val="both"/>
        <w:rPr>
          <w:rFonts w:ascii="Times New Roman" w:hAnsi="Times New Roman"/>
          <w:sz w:val="20"/>
          <w:szCs w:val="20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/>
          <w:sz w:val="20"/>
          <w:szCs w:val="20"/>
          <w:lang w:eastAsia="en-US"/>
        </w:rPr>
        <w:t xml:space="preserve">Если договор аренды земельного участка в течение 10 (десяти) рабочих дней со дня направления победителю аукциона проекта указанного договора не был им подписан и представлен Организатору, Организатор направляет у</w:t>
      </w:r>
      <w:r>
        <w:rPr>
          <w:rFonts w:ascii="Times New Roman" w:hAnsi="Times New Roman"/>
          <w:sz w:val="20"/>
          <w:szCs w:val="20"/>
          <w:lang w:eastAsia="en-US"/>
        </w:rPr>
        <w:t xml:space="preserve">казанный договор участнику</w:t>
      </w:r>
      <w:r>
        <w:rPr>
          <w:rFonts w:ascii="Times New Roman" w:hAnsi="Times New Roman"/>
          <w:sz w:val="20"/>
          <w:szCs w:val="20"/>
          <w:lang w:eastAsia="en-US"/>
        </w:rPr>
        <w:t xml:space="preserve"> аукциона, который сделал предпоследнее предложение о цене предмета аукциона, для их заключения по цене, предложенной таким участником аукциона</w:t>
      </w:r>
      <w:r>
        <w:rPr>
          <w:rFonts w:ascii="Times New Roman" w:hAnsi="Times New Roman"/>
          <w:sz w:val="20"/>
          <w:szCs w:val="20"/>
          <w:lang w:eastAsia="en-US"/>
        </w:rPr>
        <w:t xml:space="preserve">.</w:t>
      </w:r>
      <w:r>
        <w:rPr>
          <w:rFonts w:ascii="Times New Roman" w:hAnsi="Times New Roman"/>
          <w:sz w:val="20"/>
          <w:szCs w:val="20"/>
          <w14:ligatures w14:val="none"/>
        </w:rPr>
      </w:r>
      <w:r>
        <w:rPr>
          <w:rFonts w:ascii="Times New Roman" w:hAnsi="Times New Roman"/>
          <w:sz w:val="20"/>
          <w:szCs w:val="20"/>
          <w14:ligatures w14:val="none"/>
        </w:rPr>
      </w:r>
    </w:p>
    <w:p>
      <w:pPr>
        <w:ind w:firstLine="709"/>
        <w:jc w:val="both"/>
        <w:rPr>
          <w:rFonts w:ascii="Times New Roman" w:hAnsi="Times New Roman"/>
          <w:sz w:val="20"/>
          <w:szCs w:val="20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/>
          <w:sz w:val="20"/>
          <w:szCs w:val="20"/>
          <w:lang w:eastAsia="en-US"/>
        </w:rPr>
        <w:t xml:space="preserve">Сведения о победителях аукциона, уклонившихся от заключения договора аренды земельного участка, являющегося предметом аукциона, и об иных лицах, с которыми указанный договор заключается в соответствии с </w:t>
      </w:r>
      <w:r>
        <w:rPr>
          <w:rFonts w:ascii="Times New Roman" w:hAnsi="Times New Roman"/>
          <w:sz w:val="20"/>
          <w:szCs w:val="20"/>
          <w:lang w:eastAsia="en-US"/>
        </w:rPr>
        <w:t xml:space="preserve">пунктом 13</w:t>
      </w:r>
      <w:r>
        <w:rPr>
          <w:rFonts w:ascii="Times New Roman" w:hAnsi="Times New Roman"/>
          <w:sz w:val="20"/>
          <w:szCs w:val="20"/>
          <w:lang w:eastAsia="en-US"/>
        </w:rPr>
        <w:t xml:space="preserve">, </w:t>
      </w:r>
      <w:r>
        <w:rPr>
          <w:rFonts w:ascii="Times New Roman" w:hAnsi="Times New Roman"/>
          <w:sz w:val="20"/>
          <w:szCs w:val="20"/>
          <w:lang w:eastAsia="en-US"/>
        </w:rPr>
        <w:t xml:space="preserve">14</w:t>
      </w:r>
      <w:r>
        <w:rPr>
          <w:rFonts w:ascii="Times New Roman" w:hAnsi="Times New Roman"/>
          <w:sz w:val="20"/>
          <w:szCs w:val="20"/>
          <w:lang w:eastAsia="en-US"/>
        </w:rPr>
        <w:t xml:space="preserve">, </w:t>
      </w:r>
      <w:r>
        <w:rPr>
          <w:rFonts w:ascii="Times New Roman" w:hAnsi="Times New Roman"/>
          <w:sz w:val="20"/>
          <w:szCs w:val="20"/>
          <w:lang w:eastAsia="en-US"/>
        </w:rPr>
        <w:t xml:space="preserve">20</w:t>
      </w:r>
      <w:r>
        <w:rPr>
          <w:rFonts w:ascii="Times New Roman" w:hAnsi="Times New Roman"/>
          <w:sz w:val="20"/>
          <w:szCs w:val="20"/>
          <w:lang w:eastAsia="en-US"/>
        </w:rPr>
        <w:t xml:space="preserve"> или </w:t>
      </w:r>
      <w:r>
        <w:rPr>
          <w:rFonts w:ascii="Times New Roman" w:hAnsi="Times New Roman"/>
          <w:sz w:val="20"/>
          <w:szCs w:val="20"/>
          <w:lang w:eastAsia="en-US"/>
        </w:rPr>
        <w:t xml:space="preserve">25</w:t>
      </w:r>
      <w:r>
        <w:rPr>
          <w:rFonts w:ascii="Times New Roman" w:hAnsi="Times New Roman"/>
          <w:sz w:val="20"/>
          <w:szCs w:val="20"/>
          <w:lang w:eastAsia="en-US"/>
        </w:rPr>
        <w:t xml:space="preserve"> Кодекса и которые уклонились от их заключения, </w:t>
      </w:r>
      <w:r>
        <w:rPr>
          <w:rFonts w:ascii="Times New Roman" w:hAnsi="Times New Roman"/>
          <w:sz w:val="20"/>
          <w:szCs w:val="20"/>
          <w:lang w:eastAsia="en-US"/>
        </w:rPr>
        <w:t xml:space="preserve">Организатор направляет сведения в Федеральную антимонопольную службу России для включения в реестр недобросовестных участников аукциона. </w:t>
      </w:r>
      <w:r>
        <w:rPr>
          <w:rFonts w:ascii="Times New Roman" w:hAnsi="Times New Roman"/>
          <w:sz w:val="20"/>
          <w:szCs w:val="20"/>
          <w:lang w:eastAsia="en-US"/>
        </w:rPr>
        <w:t xml:space="preserve"> </w:t>
      </w:r>
      <w:r>
        <w:rPr>
          <w:rFonts w:ascii="Times New Roman" w:hAnsi="Times New Roman"/>
          <w:sz w:val="20"/>
          <w:szCs w:val="20"/>
          <w14:ligatures w14:val="none"/>
        </w:rPr>
      </w:r>
      <w:r>
        <w:rPr>
          <w:rFonts w:ascii="Times New Roman" w:hAnsi="Times New Roman"/>
          <w:sz w:val="20"/>
          <w:szCs w:val="20"/>
          <w14:ligatures w14:val="none"/>
        </w:rPr>
      </w:r>
    </w:p>
    <w:p>
      <w:pPr>
        <w:ind w:firstLine="709"/>
        <w:jc w:val="both"/>
        <w:rPr>
          <w:rFonts w:ascii="Times New Roman" w:hAnsi="Times New Roman"/>
          <w:sz w:val="20"/>
          <w:szCs w:val="20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/>
          <w:sz w:val="20"/>
          <w:szCs w:val="20"/>
          <w:lang w:eastAsia="en-US"/>
        </w:rPr>
        <w:t xml:space="preserve">В случае, если в течение 10 (десяти) рабочих дней со дня направления Участнику, который сделал предпоследнее предложение о цене Предмета аукциона, этот Участник не представил Организатору подписанный со своей стороны указанный договор</w:t>
      </w:r>
      <w:r>
        <w:rPr>
          <w:rFonts w:ascii="Times New Roman" w:hAnsi="Times New Roman"/>
          <w:sz w:val="20"/>
          <w:szCs w:val="20"/>
          <w:lang w:eastAsia="en-US"/>
        </w:rPr>
        <w:t xml:space="preserve">, Организатор</w:t>
      </w:r>
      <w:r>
        <w:rPr>
          <w:rFonts w:ascii="Times New Roman" w:hAnsi="Times New Roman"/>
          <w:sz w:val="20"/>
          <w:szCs w:val="20"/>
          <w:lang w:eastAsia="en-US"/>
        </w:rPr>
        <w:t xml:space="preserve"> вправе объявить о проведении повторного аукциона в электронной форме или распорядиться земельным участком иным образом в соответствии с Кодексом.</w:t>
      </w:r>
      <w:r/>
      <w:r>
        <w:rPr>
          <w:rFonts w:ascii="Times New Roman" w:hAnsi="Times New Roman"/>
          <w:sz w:val="20"/>
          <w:szCs w:val="20"/>
          <w:highlight w:val="none"/>
          <w14:ligatures w14:val="none"/>
        </w:rPr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  <w:lang w:eastAsia="en-US"/>
        </w:rPr>
        <w:t xml:space="preserve">.</w:t>
      </w:r>
      <w:r>
        <w:rPr>
          <w:rFonts w:ascii="Times New Roman" w:hAnsi="Times New Roman"/>
          <w:sz w:val="20"/>
          <w:szCs w:val="20"/>
          <w14:ligatures w14:val="none"/>
        </w:rPr>
      </w:r>
      <w:r/>
    </w:p>
    <w:p>
      <w:pPr>
        <w:ind w:firstLine="709"/>
        <w:jc w:val="both"/>
        <w:rPr>
          <w:rFonts w:ascii="Times New Roman" w:hAnsi="Times New Roman"/>
          <w:sz w:val="20"/>
          <w:szCs w:val="20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/>
          <w:sz w:val="20"/>
          <w:szCs w:val="20"/>
          <w:lang w:eastAsia="en-US"/>
        </w:rPr>
        <w:t xml:space="preserve">15. </w:t>
      </w:r>
      <w:r>
        <w:rPr>
          <w:rFonts w:ascii="Times New Roman" w:hAnsi="Times New Roman"/>
          <w:sz w:val="20"/>
          <w:szCs w:val="20"/>
        </w:rPr>
        <w:t xml:space="preserve">Организатор </w:t>
      </w:r>
      <w:r>
        <w:rPr>
          <w:rFonts w:ascii="Times New Roman" w:hAnsi="Times New Roman"/>
          <w:sz w:val="20"/>
          <w:szCs w:val="20"/>
        </w:rPr>
        <w:t xml:space="preserve">аукциона вправе отказаться от процедуры проведения аукциона в соответствии с пунктом 4 статьи 448 Гражданского кодекса Российской Федерации. </w:t>
      </w:r>
      <w:r>
        <w:rPr>
          <w:rFonts w:ascii="Times New Roman" w:hAnsi="Times New Roman"/>
          <w:sz w:val="20"/>
          <w:szCs w:val="20"/>
          <w14:ligatures w14:val="none"/>
        </w:rPr>
      </w:r>
      <w:r>
        <w:rPr>
          <w:rFonts w:ascii="Times New Roman" w:hAnsi="Times New Roman"/>
          <w:sz w:val="20"/>
          <w:szCs w:val="20"/>
          <w14:ligatures w14:val="none"/>
        </w:rPr>
      </w:r>
    </w:p>
    <w:p>
      <w:pPr>
        <w:ind w:firstLine="709"/>
        <w:jc w:val="both"/>
        <w:rPr>
          <w:rFonts w:ascii="Times New Roman" w:hAnsi="Times New Roman"/>
          <w:sz w:val="20"/>
          <w:szCs w:val="20"/>
          <w14:ligatures w14:val="none"/>
        </w:rPr>
      </w:pPr>
      <w:r>
        <w:rPr>
          <w:rFonts w:ascii="Times New Roman" w:hAnsi="Times New Roman"/>
          <w:sz w:val="20"/>
          <w:szCs w:val="20"/>
        </w:rPr>
        <w:t xml:space="preserve">В течение 3 (трех) дней со дня принятия решения об отказе в проведении аукциона организатор аукциона обязан известить участников аукциона об отказе в проведе</w:t>
      </w:r>
      <w:r>
        <w:rPr>
          <w:rFonts w:ascii="Times New Roman" w:hAnsi="Times New Roman"/>
          <w:sz w:val="20"/>
          <w:szCs w:val="20"/>
        </w:rPr>
        <w:t xml:space="preserve">нии </w:t>
      </w:r>
      <w:r>
        <w:rPr>
          <w:rFonts w:ascii="Times New Roman" w:hAnsi="Times New Roman"/>
          <w:sz w:val="20"/>
          <w:szCs w:val="20"/>
        </w:rPr>
        <w:t xml:space="preserve">аукциона и возвратить его участникам внесенные задатки.</w:t>
      </w:r>
      <w:r>
        <w:rPr>
          <w:rFonts w:ascii="Times New Roman" w:hAnsi="Times New Roman"/>
          <w:sz w:val="20"/>
          <w:szCs w:val="20"/>
          <w14:ligatures w14:val="none"/>
        </w:rPr>
      </w:r>
      <w:r>
        <w:rPr>
          <w:rFonts w:ascii="Times New Roman" w:hAnsi="Times New Roman"/>
          <w:sz w:val="20"/>
          <w:szCs w:val="20"/>
          <w14:ligatures w14:val="none"/>
        </w:rPr>
      </w:r>
    </w:p>
    <w:p>
      <w:pPr>
        <w:contextualSpacing w:val="0"/>
        <w:ind w:firstLine="709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position w:val="0"/>
          <w:sz w:val="20"/>
          <w:szCs w:val="20"/>
          <w:highlight w:val="none"/>
          <w14:ligatures w14:val="none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0"/>
          <w:szCs w:val="20"/>
          <w:highlight w:val="none"/>
        </w:rPr>
        <w:t xml:space="preserve">16. Земельный участок в соответствии с Правилами землепользования и застройки города Костромы, утвер</w:t>
      </w:r>
      <w:r>
        <w:rPr>
          <w:rFonts w:ascii="Times New Roman" w:hAnsi="Times New Roman" w:eastAsia="Times New Roman" w:cs="Times New Roman"/>
          <w:position w:val="0"/>
          <w:sz w:val="20"/>
          <w:szCs w:val="20"/>
          <w:highlight w:val="none"/>
        </w:rPr>
        <w:t xml:space="preserve">жденными постановлением Администрации города Костромы от 28 июня 2021 года № 1130 (с изменениями, внесенными постановлением Администрации города Костромы от 4 июля 2024 года №1101), отнесен к промышленной и коммунально – складской зоне размещения объектов </w:t>
      </w:r>
      <w:r>
        <w:rPr>
          <w:rFonts w:ascii="Times New Roman" w:hAnsi="Times New Roman" w:eastAsia="Times New Roman" w:cs="Times New Roman"/>
          <w:position w:val="0"/>
          <w:sz w:val="20"/>
          <w:szCs w:val="20"/>
          <w:highlight w:val="none"/>
          <w:lang w:val="en-US"/>
        </w:rPr>
        <w:t xml:space="preserve">IV</w:t>
      </w:r>
      <w:r>
        <w:rPr>
          <w:rFonts w:ascii="Times New Roman" w:hAnsi="Times New Roman" w:eastAsia="Times New Roman" w:cs="Times New Roman"/>
          <w:position w:val="0"/>
          <w:sz w:val="20"/>
          <w:szCs w:val="20"/>
          <w:highlight w:val="none"/>
          <w:lang w:val="ru-RU"/>
        </w:rPr>
        <w:t xml:space="preserve">, </w:t>
      </w:r>
      <w:r>
        <w:rPr>
          <w:rFonts w:ascii="Times New Roman" w:hAnsi="Times New Roman" w:eastAsia="Times New Roman" w:cs="Times New Roman"/>
          <w:position w:val="0"/>
          <w:sz w:val="20"/>
          <w:szCs w:val="20"/>
          <w:highlight w:val="none"/>
          <w:lang w:val="en-US"/>
        </w:rPr>
        <w:t xml:space="preserve">V </w:t>
      </w:r>
      <w:r>
        <w:rPr>
          <w:rFonts w:ascii="Times New Roman" w:hAnsi="Times New Roman" w:eastAsia="Times New Roman" w:cs="Times New Roman"/>
          <w:position w:val="0"/>
          <w:sz w:val="20"/>
          <w:szCs w:val="20"/>
          <w:highlight w:val="none"/>
          <w:lang w:val="ru-RU"/>
        </w:rPr>
        <w:t xml:space="preserve">класса опасности П-3</w:t>
      </w:r>
      <w:r>
        <w:rPr>
          <w:rFonts w:ascii="Times New Roman" w:hAnsi="Times New Roman" w:eastAsia="Times New Roman" w:cs="Times New Roman"/>
          <w:position w:val="0"/>
          <w:sz w:val="20"/>
          <w:szCs w:val="20"/>
          <w:highlight w:val="none"/>
        </w:rPr>
        <w:t xml:space="preserve">:</w:t>
      </w:r>
      <w:r>
        <w:rPr>
          <w:rFonts w:ascii="Times New Roman" w:hAnsi="Times New Roman" w:cs="Times New Roman"/>
          <w:position w:val="0"/>
          <w:sz w:val="20"/>
          <w:szCs w:val="20"/>
          <w14:ligatures w14:val="none"/>
        </w:rPr>
      </w:r>
      <w:r>
        <w:rPr>
          <w:rFonts w:ascii="Times New Roman" w:hAnsi="Times New Roman" w:cs="Times New Roman"/>
          <w:position w:val="0"/>
          <w:sz w:val="20"/>
          <w:szCs w:val="20"/>
          <w:highlight w:val="none"/>
          <w14:ligatures w14:val="none"/>
        </w:rPr>
      </w:r>
    </w:p>
    <w:p>
      <w:pPr>
        <w:contextualSpacing w:val="0"/>
        <w:ind w:firstLine="709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position w:val="0"/>
          <w:sz w:val="20"/>
          <w:szCs w:val="20"/>
          <w14:ligatures w14:val="none"/>
        </w:rPr>
        <w:suppressLineNumbers w:val="0"/>
      </w:pPr>
      <w:r>
        <w:rPr>
          <w:rFonts w:ascii="Times New Roman" w:hAnsi="Times New Roman" w:cs="Times New Roman"/>
          <w:position w:val="0"/>
          <w:sz w:val="20"/>
          <w:szCs w:val="20"/>
          <w14:ligatures w14:val="none"/>
        </w:rPr>
      </w:r>
      <w:r>
        <w:rPr>
          <w:rFonts w:ascii="Times New Roman" w:hAnsi="Times New Roman" w:cs="Times New Roman"/>
          <w:position w:val="0"/>
          <w:sz w:val="20"/>
          <w:szCs w:val="20"/>
          <w14:ligatures w14:val="none"/>
        </w:rPr>
      </w:r>
    </w:p>
    <w:p>
      <w:pPr>
        <w:contextualSpacing w:val="0"/>
        <w:ind w:firstLine="709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position w:val="0"/>
          <w:sz w:val="20"/>
          <w:szCs w:val="20"/>
          <w14:ligatures w14:val="none"/>
        </w:rPr>
        <w:suppressLineNumbers w:val="0"/>
      </w:pPr>
      <w:r>
        <w:rPr>
          <w:rFonts w:ascii="Times New Roman" w:hAnsi="Times New Roman" w:cs="Times New Roman"/>
          <w:position w:val="0"/>
          <w:sz w:val="20"/>
          <w:szCs w:val="20"/>
          <w:highlight w:val="none"/>
          <w14:ligatures w14:val="none"/>
        </w:rPr>
      </w:r>
      <w:r>
        <w:rPr>
          <w:rFonts w:ascii="Times New Roman" w:hAnsi="Times New Roman" w:cs="Times New Roman"/>
          <w:position w:val="0"/>
          <w:sz w:val="20"/>
          <w:szCs w:val="20"/>
          <w:highlight w:val="none"/>
          <w14:ligatures w14:val="none"/>
        </w:rPr>
      </w:r>
    </w:p>
    <w:p>
      <w:pPr>
        <w:contextualSpacing w:val="0"/>
        <w:ind w:left="0" w:right="0" w:firstLine="0"/>
        <w:jc w:val="center"/>
        <w:spacing w:before="0" w:beforeAutospacing="0" w:after="0" w:afterAutospacing="0" w:line="240" w:lineRule="auto"/>
        <w:rPr>
          <w:rFonts w:ascii="Times New Roman" w:hAnsi="Times New Roman" w:cs="Times New Roman"/>
          <w:position w:val="0"/>
          <w:sz w:val="20"/>
          <w:szCs w:val="2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/>
          <w:color w:val="000000"/>
          <w:position w:val="0"/>
          <w:sz w:val="20"/>
          <w:szCs w:val="20"/>
        </w:rPr>
        <w:t xml:space="preserve">«3.4. Градостроительный регламент промышленных</w:t>
      </w:r>
      <w:r>
        <w:rPr>
          <w:rFonts w:ascii="Times New Roman" w:hAnsi="Times New Roman" w:cs="Times New Roman"/>
          <w:position w:val="0"/>
          <w:sz w:val="20"/>
          <w:szCs w:val="20"/>
        </w:rPr>
      </w:r>
      <w:r>
        <w:rPr>
          <w:rFonts w:ascii="Times New Roman" w:hAnsi="Times New Roman" w:cs="Times New Roman"/>
          <w:position w:val="0"/>
          <w:sz w:val="20"/>
          <w:szCs w:val="20"/>
        </w:rPr>
      </w:r>
    </w:p>
    <w:p>
      <w:pPr>
        <w:contextualSpacing w:val="0"/>
        <w:ind w:left="0" w:right="0" w:firstLine="0"/>
        <w:jc w:val="center"/>
        <w:spacing w:before="0" w:beforeAutospacing="0" w:after="0" w:afterAutospacing="0" w:line="240" w:lineRule="auto"/>
        <w:rPr>
          <w:rFonts w:ascii="Times New Roman" w:hAnsi="Times New Roman" w:cs="Times New Roman"/>
          <w:position w:val="0"/>
          <w:sz w:val="20"/>
          <w:szCs w:val="2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/>
          <w:color w:val="000000"/>
          <w:position w:val="0"/>
          <w:sz w:val="20"/>
          <w:szCs w:val="20"/>
        </w:rPr>
        <w:t xml:space="preserve">и коммунально-складских зон размещения объектов</w:t>
      </w:r>
      <w:r>
        <w:rPr>
          <w:rFonts w:ascii="Times New Roman" w:hAnsi="Times New Roman" w:cs="Times New Roman"/>
          <w:position w:val="0"/>
          <w:sz w:val="20"/>
          <w:szCs w:val="20"/>
        </w:rPr>
      </w:r>
      <w:r>
        <w:rPr>
          <w:rFonts w:ascii="Times New Roman" w:hAnsi="Times New Roman" w:cs="Times New Roman"/>
          <w:position w:val="0"/>
          <w:sz w:val="20"/>
          <w:szCs w:val="20"/>
        </w:rPr>
      </w:r>
    </w:p>
    <w:p>
      <w:pPr>
        <w:contextualSpacing w:val="0"/>
        <w:ind w:left="0" w:right="0" w:firstLine="0"/>
        <w:jc w:val="center"/>
        <w:spacing w:before="0" w:beforeAutospacing="0" w:after="0" w:afterAutospacing="0" w:line="240" w:lineRule="auto"/>
        <w:rPr>
          <w:rFonts w:ascii="Times New Roman" w:hAnsi="Times New Roman" w:cs="Times New Roman"/>
          <w:position w:val="0"/>
          <w:sz w:val="20"/>
          <w:szCs w:val="2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/>
          <w:color w:val="000000"/>
          <w:position w:val="0"/>
          <w:sz w:val="20"/>
          <w:szCs w:val="20"/>
        </w:rPr>
        <w:t xml:space="preserve">IV, V класса опасности П-3</w:t>
      </w:r>
      <w:r>
        <w:rPr>
          <w:rFonts w:ascii="Times New Roman" w:hAnsi="Times New Roman" w:cs="Times New Roman"/>
          <w:position w:val="0"/>
          <w:sz w:val="20"/>
          <w:szCs w:val="20"/>
        </w:rPr>
      </w:r>
      <w:r>
        <w:rPr>
          <w:rFonts w:ascii="Times New Roman" w:hAnsi="Times New Roman" w:cs="Times New Roman"/>
          <w:position w:val="0"/>
          <w:sz w:val="20"/>
          <w:szCs w:val="20"/>
        </w:rPr>
      </w:r>
    </w:p>
    <w:p>
      <w:pPr>
        <w:contextualSpacing w:val="0"/>
        <w:ind w:left="0" w:right="0" w:firstLine="0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position w:val="0"/>
          <w:sz w:val="20"/>
          <w:szCs w:val="2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/>
          <w:position w:val="0"/>
          <w:sz w:val="20"/>
          <w:szCs w:val="20"/>
        </w:rPr>
        <w:t xml:space="preserve"> </w:t>
      </w:r>
      <w:r>
        <w:rPr>
          <w:rFonts w:ascii="Times New Roman" w:hAnsi="Times New Roman" w:eastAsia="Times New Roman" w:cs="Times New Roman"/>
          <w:color w:val="000000"/>
          <w:position w:val="0"/>
          <w:sz w:val="20"/>
          <w:szCs w:val="20"/>
        </w:rPr>
        <w:t xml:space="preserve">3.4.1. Для земельных участков и объектов капитального строительства, расположенных в пределах промышленных и коммунально-складских зон размещения объектов IV, V класса опасности П-3, включая подзоны П-3.1, П-3.2, П-3.3, П-3.4 (далее - зона П-3), устанавлив</w:t>
      </w:r>
      <w:r>
        <w:rPr>
          <w:rFonts w:ascii="Times New Roman" w:hAnsi="Times New Roman" w:eastAsia="Times New Roman" w:cs="Times New Roman"/>
          <w:color w:val="000000"/>
          <w:position w:val="0"/>
          <w:sz w:val="20"/>
          <w:szCs w:val="20"/>
        </w:rPr>
        <w:t xml:space="preserve">аются следующие основные виды использования и соответствующие каждому виду параметры использования:</w:t>
      </w:r>
      <w:r>
        <w:rPr>
          <w:rFonts w:ascii="Times New Roman" w:hAnsi="Times New Roman" w:cs="Times New Roman"/>
          <w:position w:val="0"/>
          <w:sz w:val="20"/>
          <w:szCs w:val="20"/>
        </w:rPr>
      </w:r>
      <w:r>
        <w:rPr>
          <w:rFonts w:ascii="Times New Roman" w:hAnsi="Times New Roman" w:cs="Times New Roman"/>
          <w:position w:val="0"/>
          <w:sz w:val="20"/>
          <w:szCs w:val="20"/>
        </w:rPr>
      </w:r>
    </w:p>
    <w:tbl>
      <w:tblPr>
        <w:tblStyle w:val="951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435"/>
        <w:gridCol w:w="1965"/>
        <w:gridCol w:w="2310"/>
        <w:gridCol w:w="3555"/>
        <w:gridCol w:w="720"/>
      </w:tblGrid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N п/п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Вид разрешенного использования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Наименование объектов капитального строительства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55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Предельные параметры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Код вида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1.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Производственная деятельность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color w:val="0000ff"/>
                <w:position w:val="0"/>
                <w:sz w:val="20"/>
                <w:szCs w:val="20"/>
                <w:u w:val="none"/>
              </w:rPr>
              <w:t xml:space="preserve">Классификатором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55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минимальный размер земельного участка - 0,06 га;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минимальный отступ от границ земельного участка - 3 м;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предельное количество этажей: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П-3 - 9 этажей;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П-3.1 - 4 надземных этажа, один из которых мансардный;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П-3.2 - 6 надземных этажей, один из которых мансардный;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П-3.4 - 3 надземных этажа, один из которых мансардный максимальный;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предельная высота до конька зданий, до наивысшей точки зданий (парапета):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П-3.1 - 15 м;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П-3.2 - 19 м;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П-3.3 - 30 м;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П-3.4 - 12 м;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процент застройки: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П-3, П-3.4 - 60 процентов;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П-3.1 - 30 процентов;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П-3.2, П-3.3 - 40 процентов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6.0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2.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Связь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color w:val="0000ff"/>
                <w:position w:val="0"/>
                <w:sz w:val="20"/>
                <w:szCs w:val="20"/>
                <w:u w:val="none"/>
              </w:rPr>
              <w:t xml:space="preserve">Классификатором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55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для объектов капитального строительства: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максимальный размер земельного участка - 25 га;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предельное количество этажей: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П-3 - 9 этажей;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П-3.1 - 4 надземных этажа, один из которых мансардный;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П-3.2 - 6 надземных этажей, один из которых мансардный;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П-3.4 - 3 надземных этажа, один из которых мансардный максимальный;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предельная высота до конька зданий, до наивысшей точки зданий (парапета):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П-3.1 - 15 м;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П-3.2 - 19 м;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П-3.3 - 30 м;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П-3.4 - 12 м;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минимальный отступ от границ земельного участка - 3 м;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максимальный процент застройки: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П-3, П-3.4 - 60 процентов;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П-3.1 - 30 процентов;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П-3.2, П-3.3 - 40 процентов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иные показатели: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установление размера санитарно-защитных зон в местах размещения передающих радиотехнических объектов проводится в соответствии с действующими санитарными правилами и нормами по электромагнитным излучениям радиочастотного диапазона и методиками расчета инте</w:t>
            </w: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нсивности электромагнитного излучения радиочастот;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для линейных объектов минимальные и максимальные размеры земельных участков и предельные параметры разрешенного строительства, реконструкции объектов капитального строительства не подлежат установлению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6.8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3.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Склад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сооружения, имеющие назначение по временному хранению, распределению и перевалке грузов (за исключением хранения стратегических запасов), не являющихся частями производственных комплексов, на которых был создан груз: промышленные базы, склады, погрузочные </w:t>
            </w: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терминалы и доки, нефтехранилища и нефтеналивные станции, газовые хранилища, элеваторы и продовольственные склады, за исключением железнодорожных перевалочных складов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55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максимальный размер земельного участка - 25 га;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минимальный отступ от границ земельного участка - 3 м;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предельное количество этажей: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П-3, П-3.2, П-3.3 - 5 этажей: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П-3.1 - 4 надземных этажа, один из которых мансардный;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П-3.4 - 3 надземных этажа, один из которых мансардный максимальный;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предельная высота до конька зданий, до наивысшей точки зданий (парапета):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П-3.1 - 15 м;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П-3.2 - 19 м;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П-3.3 - 30 м;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П-3.4 - 12 м;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максимальный процент застройки: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П-3, П-3.4 - 60 процентов;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П-3.1 - 30 процентов;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П-3.2, П-3.3 - 40 процентов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6.9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4.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Целлюлозно-бумажная промышленность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color w:val="0000ff"/>
                <w:position w:val="0"/>
                <w:sz w:val="20"/>
                <w:szCs w:val="20"/>
                <w:u w:val="none"/>
              </w:rPr>
              <w:t xml:space="preserve">Классификатором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55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максимальный размер земельного участка - 25 га;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минимальный отступ от границ земельного участка - 3 м;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предельное количество этажей: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П-3, П-3.3 - 9 этажей;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П-3.1 - 4 надземных этажа, один из которых мансардный;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П-3.2 - 6 надземных этажей, один из которых мансардный;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П-3.4 - 3 надземных этажа, один из которых мансардный максимальный;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предельная высота до конька зданий, до наивысшей точки зданий (парапета):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П-3.1 - 15 м;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П-3.2 - 19 м;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П-3.3 - 30 м;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П-3.4 - 12 м;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максимальный процент застройки: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П-3, П-3.4 - 60 процентов;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П-3.1 - 30 процентов;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П-3.2, П-3.3 - 40 процентов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6.11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5.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Деловое управление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color w:val="0000ff"/>
                <w:position w:val="0"/>
                <w:sz w:val="20"/>
                <w:szCs w:val="20"/>
                <w:u w:val="none"/>
              </w:rPr>
              <w:t xml:space="preserve">Классификатором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55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минимальный размер земельного участка - 0,001 га на 1 рабочее место;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минимальный отступ от границ земельного участка - 3 м;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предельное количество этажей: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П-3, П-3.2, П-3.3 - 4 этажа;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П-3.1 - 4 надземных этажа, один из которых мансардный;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П-3.4 - 3 надземных этажа, один из которых мансардный максимальный;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предельная высота до конька зданий, до наивысшей точки зданий (парапета):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П-3.1 - 15 м;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П-3.2 - 19 м;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П-3.3 - 30 м;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П-3.4 - 12 м;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максимальный процент застройки: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П-3, П-3.2, П-3.3, П-3.4 - 40 процентов;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П-3.1 - 30 процентов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4.1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6.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Обеспечение деятельности в области гидрометеорологии и смежных с ней областях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color w:val="0000ff"/>
                <w:position w:val="0"/>
                <w:sz w:val="20"/>
                <w:szCs w:val="20"/>
                <w:u w:val="none"/>
              </w:rPr>
              <w:t xml:space="preserve">Классификатором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55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минимальный размер земельного участка - 0,001 га на 1 рабочее место;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минимальный отступ от границ земельного участка - 3 м;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предельное количество этажей: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П-3 - 8 этажей;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П-3.1 - 4 надземных этажа, один из которых мансардный;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П-3.2 - 6 надземных этажей, один из которых мансардный;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П-3.4 - 3 надземных этажа, один из которых мансардный максимальный;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предельная высота до конька зданий, до наивысшей точки зданий (парапета):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П-3.1 - 15 м;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П-3.2 - 19 м;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П-3.3 - 30 м;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П-3.4 - 12 м;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максимальный процент застройки: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П-3, П-3.4 - 50 процентов;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П-3.1 - 30 процентов;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П-3.2, П-3.3 - 40 процентов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3.9.1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vMerge w:val="restart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7.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vMerge w:val="restart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Коммунальное обслуживание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здания и сооружения, обеспечивающие поставку воды, тепла, электричества, газа, отвод канализационных стоков, очистку и уборку объектов недвижимости (котельные, водозаборы, очистные сооружения, насосные станции, водопроводы, линии электропередач, трансформа</w:t>
            </w: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торные подстанции, газопроводы, линии связи, телефонные станции, канализация, стоянки, гаражи и мастерские для обслуживания уборочной и аварийной техники, сооружения, необходимые для сбора и плавки снега)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55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минимальный размер земельного участка - 0,001 га;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минимальный отступ от границ земельного участка - 0 м;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предельное количество этажей - 2 этажа;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предельная высота до конька зданий, до наивысшей точки зданий (парапета):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П-3.1 - 15 м;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П-3.2 - 19 м;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П-3.3 - 30 м;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П-3.4 - 12 м;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максимальный процент застройки - 100 процентов.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Для линейных объектов минимальные и максимальные размеры земельных участков и предельные параметры разрешенного строительства, реконструкции объектов капитального строительства не подлежат установлению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vMerge w:val="restart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3.1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здания, предназначенные для приема физических и юридических лиц в связи с предоставлением им коммунальных услуг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55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минимальный размер земельного участка - 0,04 га;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минимальный отступ от границ земельного участка - 3 м;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предельная высота зданий - 11 м;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максимальный процент застройки: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П-3, П-3.2, П-3.3, П-3.4 - 40 процентов;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П-3.1 - 30 процентов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8.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Автомобильный транспорт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color w:val="0000ff"/>
                <w:position w:val="0"/>
                <w:sz w:val="20"/>
                <w:szCs w:val="20"/>
                <w:u w:val="none"/>
              </w:rPr>
              <w:t xml:space="preserve">Классификатором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55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минимальный размер земельного участка - 0,02 га;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минимальный отступ от границ земельного участка - 3 м;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предельное количество этажей: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П-3, П-3.2, П-3.3 - 4 этажа;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П-3.1 - 4 надземных этажа, один из которых мансардный;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П-3.4 - 3 надземных этажа, один из которых мансардный максимальный;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предельная высота до конька зданий, до наивысшей точки зданий (парапета):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П-3.1 - 15 м;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П-3.2 - 19 м;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П-3.3 - 30 м;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П-3.4 - 12 м;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максимальный процент застройки: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П-3, П-3.2, П-3.3, П-3.4 - 40 процентов;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П-3.1 - 30 процентов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7.2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9.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Служебные гаражи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color w:val="0000ff"/>
                <w:position w:val="0"/>
                <w:sz w:val="20"/>
                <w:szCs w:val="20"/>
                <w:u w:val="none"/>
              </w:rPr>
              <w:t xml:space="preserve">Классификатором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55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минимальный размер земельного участка - 0,02 га;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минимальный отступ от границ земельного участка - 3 м;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предельное количество этажей: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П-3, П-3.2, П-3.3 - 5 этажей;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П-3.1 - 4 надземных этажа, один из которых мансардный;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П-3.4 - 3 надземных этажа, один из которых мансардный максимальный;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предельная высота до конька зданий, до наивысшей точки зданий (парапета):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П-3.1 - 15 м;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П-3.2 - 19 м;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П-3.3 - 30 м;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П-3.4 - 12 м;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максимальный процент застройки: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П-3, П-3.4 - 50 процентов;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П-3.1 - 30 процентов;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П-3.2, П-3.3 - 40 процентов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4.9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10.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Хранение автотранспорта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color w:val="0000ff"/>
                <w:position w:val="0"/>
                <w:sz w:val="20"/>
                <w:szCs w:val="20"/>
                <w:u w:val="none"/>
              </w:rPr>
              <w:t xml:space="preserve">Классификатором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55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минимальный размер земельного участка - 0,002 га;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минимальный отступ от границ земельного участка - 0 м;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предельное количество этажей - 2 этажа;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предельная высота до конька зданий, до наивысшей точки зданий (парапета):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П-3.1 - 15 м;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П-3.2 - 19 м;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П-3.3 - 30 м;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П-3.4 - 12 м;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максимальный процент застройки - 100 процентов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2.7.1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11.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Амбулаторное ветеринарное обслуживание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color w:val="0000ff"/>
                <w:position w:val="0"/>
                <w:sz w:val="20"/>
                <w:szCs w:val="20"/>
                <w:u w:val="none"/>
              </w:rPr>
              <w:t xml:space="preserve">Классификатором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55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минимальный размер земельного участка - 0,002 га;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минимальный отступ от границ земельного участка - 0 м;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предельное количество этажей - 2 этажа;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предельная высота до конька зданий, до наивысшей точки зданий (парапета):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П-3.1 - 15 м;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П-3.2 - 19 м;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П-3.3 - 30 м;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П-3.4 - 12 м;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максимальный процент застройки - 100 процентов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3.10.1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12.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Обеспечение внутреннего правопорядка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color w:val="0000ff"/>
                <w:position w:val="0"/>
                <w:sz w:val="20"/>
                <w:szCs w:val="20"/>
                <w:u w:val="none"/>
              </w:rPr>
              <w:t xml:space="preserve">Классификатором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55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минимальный размер земельного участка - 0,02 га;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минимальный отступ от границ земельного участка - 3 м;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предельное количество этажей - 2 этажа;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предельная высота до конька зданий, до наивысшей точки зданий (парапета):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П-3.1 - 15 м;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П-3.2 - 19 м;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П-3.3 - 30 м;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П-3.4 - 12 м;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максимальный процент застройки: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П-3, П-3.2, П-3.3, П-3.4 - 40 процентов;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П-3.1 - 30 процентов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8.3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vMerge w:val="restart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13.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vMerge w:val="restart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Трубопроводный транспорт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нефтепроводы, водопроводы, газопроводы и иные трубопроводы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55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минимальные и максимальные размеры земельных участков и предельные параметры разрешенного строительства, реконструкции объектов капитального строительства не подлежат установлению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vMerge w:val="restart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7.5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здания и сооружения, необходимые для эксплуатации нефтепроводов, водопроводов, газопроводов и иных трубопроводов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55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минимальный размер земельного участка - 0,002 га;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минимальный отступ от границ земельного участка - 0 м;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предельное количество этажей: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П-3, П-3.1, П-3.2, П-3.3 - 3 этажа;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П-3.4 - 3 надземных этажа, один из которых мансардный максимальный;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предельная высота до конька зданий, до наивысшей точки зданий (парапета):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П-3.1 - 15 м;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П-3.2 - 19 м;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П-3.3 - 30 м;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П-3.4 - 12 м;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максимальный процент застройки - 100 процентов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14.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Энергетика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объекты гидроэнергетики, тепловые станции и другие электростанции, обслуживающие объекты электросетевого хозяйства, за исключением объектов энергетики, размещение которых предусмотрено содержанием вида разрешенного использования с кодом 3.1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55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максимальный размер земельного участка - 25 га;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минимальный отступ от границ земельного участка - 3 м;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предельное количество этажей: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П-3, П-3.3 - 9 этажей;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П-3.1 - 4 надземных этажа, один из которых мансардный;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П-3.2 - 6 надземных этажей, один из которых мансардный;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П-3.4 - 3 надземных этажа, один из которых мансардный максимальный;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предельная высота до конька зданий, до наивысшей точки зданий (парапета):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П-3.1 - 15 м;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П-3.2 - 19 м;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П-3.3 - 30 м;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П-3.4 - 12 м;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максимальный процент застройки;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П-3, П-3.4 - 60 процентов;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П-3.1 - 30 процентов;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П-3.2, П-3.3 - 40 процентов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6.7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15.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Объекты дорожного сервиса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color w:val="0000ff"/>
                <w:position w:val="0"/>
                <w:sz w:val="20"/>
                <w:szCs w:val="20"/>
                <w:u w:val="none"/>
              </w:rPr>
              <w:t xml:space="preserve">Классификатором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55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минимальный размер земельного участка - 0,1 га;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минимальный отступ от границ земельного участка - 3 м;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предельная высота зданий - 10,5 м;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максимальный процент застройки: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П-3, П-3.4 - 50 процентов;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П-3.1 - 30 процентов;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П-3.2, П-3.3 - 40 процентов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4.9.1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16.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Земельные участки (территории) общего пользования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color w:val="0000ff"/>
                <w:position w:val="0"/>
                <w:sz w:val="20"/>
                <w:szCs w:val="20"/>
                <w:u w:val="none"/>
              </w:rPr>
              <w:t xml:space="preserve">Классификатором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55" w:type="dxa"/>
            <w:vAlign w:val="top"/>
            <w:vMerge w:val="restart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минимальные и максимальные размеры земельных участков и предельные параметры разрешенного строительства, реконструкции объектов капитального строительства не подлежат установлению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12.0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17.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Улично-дорожная сеть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color w:val="0000ff"/>
                <w:position w:val="0"/>
                <w:sz w:val="20"/>
                <w:szCs w:val="20"/>
                <w:u w:val="none"/>
              </w:rPr>
              <w:t xml:space="preserve">Классификатором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12.0.1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18.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Легкая промышленность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color w:val="0000ff"/>
                <w:position w:val="0"/>
                <w:sz w:val="20"/>
                <w:szCs w:val="20"/>
                <w:u w:val="none"/>
              </w:rPr>
              <w:t xml:space="preserve">Классификатором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55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максимальный размер земельного участка - 25 га;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минимальный отступ от границ земельного участка - 3 м;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предельное количество этажей: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П-3, П-3.3 - 9 этажей;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П-3.1 - 4 надземных этажа, один из которых мансардный;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П-3.2 - 6 надземных этажей, один из которых мансардный;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для зоны П-3.4 - 3 надземных этажа, один из которых мансардный максимальный;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предельная высота до конька зданий, до наивысшей точки зданий (парапета):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П-3.1 - 15 м;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П-3.2 - 19 м;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П-3.3 - 30 м;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П-3.4 - 12 м;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максимальный процент застройки: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П-3, П-3.4 - 60 процентов;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П-3.1 - 30 процентов;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П-3.2, П-3.3 - 40 процентов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6.3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19.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Научно-производственная деятельность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color w:val="0000ff"/>
                <w:position w:val="0"/>
                <w:sz w:val="20"/>
                <w:szCs w:val="20"/>
                <w:u w:val="none"/>
              </w:rPr>
              <w:t xml:space="preserve">Классификатором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55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минимальный размер земельного участка - 0,06 га;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минимальный отступ от границ земельного участка - 3 м;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предельное количество этажей: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П-3, П-3.3 - 9 этажей;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П-3.1 - 4 надземных этажа, один из которых мансардный;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П-3.2 - 6 надземных этажей, один из которых мансардный;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П-3.4 - 3 надземных этажа, один из которых мансардный максимальный;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предельная высота до конька зданий, до наивысшей точки зданий (парапета):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П-3.1 - 15 м;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П-3.2 - 19 м;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П-3.3 - 30 м;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П-3.4 - 12 м;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максимальный процент застройки: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П-3, П-3.4 - 60 процентов;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П-3.1 - 30 процентов;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П-3.2, П-3.3 - 40 процентов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6.12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20.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Строительная промышленность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color w:val="0000ff"/>
                <w:position w:val="0"/>
                <w:sz w:val="20"/>
                <w:szCs w:val="20"/>
                <w:u w:val="none"/>
              </w:rPr>
              <w:t xml:space="preserve">Классификатором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55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максимальный размер земельного участка - 25 га;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минимальный отступ от границ земельного участка - 3 м;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предельное количество этажей: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П-3, П-3.3 - 9 этажей;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П-3.1 - 4 надземных этажа, один из которых мансардный;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П-3.2 - 6 надземных этажей, один из которых мансардный;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П-3.4 - 3 надземных этажа, один из которых мансардный максимальный;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предельная высота до конька зданий, до наивысшей точки зданий (парапета):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П-3.1 - 15 м;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П-3.2 - 19 м;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П-3.3 - 30 м;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П-3.4 - 12 м;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максимальный процент застройки: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П-3, П-3.4 - 60 процентов;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П-3.1 - 30 процентов;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П-3.2, П-3.3 - 40 процентов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6.6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21.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Размещение гаражей для собственных нужд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color w:val="0000ff"/>
                <w:position w:val="0"/>
                <w:sz w:val="20"/>
                <w:szCs w:val="20"/>
                <w:u w:val="none"/>
              </w:rPr>
              <w:t xml:space="preserve">Классификатором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55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минимальный размер земельного участка - 0,002 га;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минимальный отступ от границ земельного участка - 0 м;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предельное количество этажей - 2 этажа;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максимальный процент застройки - 100 процентов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2.7.2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22.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Стоянка транспортных средств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color w:val="0000ff"/>
                <w:position w:val="0"/>
                <w:sz w:val="20"/>
                <w:szCs w:val="20"/>
                <w:u w:val="none"/>
              </w:rPr>
              <w:t xml:space="preserve">Классификатором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55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минимальный размер земельного участка - 0,002 га;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минимальный отступ от границ земельного участка - 0 м;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предельное количество этажей - 0 этажей;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максимальный процент застройки - 0 процентов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4.9.2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</w:tc>
      </w:tr>
    </w:tbl>
    <w:p>
      <w:pPr>
        <w:contextualSpacing w:val="0"/>
        <w:ind w:left="0" w:right="0" w:firstLine="0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position w:val="0"/>
          <w:sz w:val="20"/>
          <w:szCs w:val="2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/>
          <w:position w:val="0"/>
          <w:sz w:val="20"/>
          <w:szCs w:val="20"/>
        </w:rPr>
        <w:t xml:space="preserve"> </w:t>
      </w:r>
      <w:r>
        <w:rPr>
          <w:rFonts w:ascii="Times New Roman" w:hAnsi="Times New Roman" w:eastAsia="Times New Roman" w:cs="Times New Roman"/>
          <w:color w:val="000000"/>
          <w:position w:val="0"/>
          <w:sz w:val="20"/>
          <w:szCs w:val="20"/>
        </w:rPr>
        <w:t xml:space="preserve">3.4.2. Для земельных участков и объектов капитального строительства, расположенных в пределах зоны П-3 (подзон П-3.1, П-3.2, П-3.3, П-3.4), устанавливаются следующие условно разрешенные виды использования и соответствующие каждому виду предельные параметры</w:t>
      </w:r>
      <w:r>
        <w:rPr>
          <w:rFonts w:ascii="Times New Roman" w:hAnsi="Times New Roman" w:eastAsia="Times New Roman" w:cs="Times New Roman"/>
          <w:color w:val="000000"/>
          <w:position w:val="0"/>
          <w:sz w:val="20"/>
          <w:szCs w:val="20"/>
        </w:rPr>
        <w:t xml:space="preserve">:</w:t>
      </w:r>
      <w:r>
        <w:rPr>
          <w:rFonts w:ascii="Times New Roman" w:hAnsi="Times New Roman" w:cs="Times New Roman"/>
          <w:position w:val="0"/>
          <w:sz w:val="20"/>
          <w:szCs w:val="20"/>
        </w:rPr>
      </w:r>
      <w:r>
        <w:rPr>
          <w:rFonts w:ascii="Times New Roman" w:hAnsi="Times New Roman" w:cs="Times New Roman"/>
          <w:position w:val="0"/>
          <w:sz w:val="20"/>
          <w:szCs w:val="20"/>
        </w:rPr>
      </w:r>
    </w:p>
    <w:tbl>
      <w:tblPr>
        <w:tblStyle w:val="951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435"/>
        <w:gridCol w:w="1965"/>
        <w:gridCol w:w="2310"/>
        <w:gridCol w:w="3495"/>
        <w:gridCol w:w="720"/>
      </w:tblGrid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N п/п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Вид разрешенного использования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Наименование объектов капитального строительства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95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Предельные параметры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Код вида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1.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Гостиничное обслуживание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color w:val="0000ff"/>
                <w:position w:val="0"/>
                <w:sz w:val="20"/>
                <w:szCs w:val="20"/>
                <w:u w:val="none"/>
              </w:rPr>
              <w:t xml:space="preserve">Классификатором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95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минимальный размер земельного участка - 0,003 га на 1 место;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минимальный отступ от границ земельного участка - 3 м;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предельное количество этажей: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П-3, П-3.2, П-3.3 - 5 этажей;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П-3.1 - 4 надземных этажа, один из которых мансардный;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П-3.4 - 3 надземных этажа, один из которых мансардный максимальный;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предельная высота до конька зданий, до наивысшей точки зданий (парапета):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П-3.1 - 15 м;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П-3.2 - 19 м;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П-3.3 - 30 м;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П-3.4 - 12 м;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максимальный процент застройки: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П-3, П-3.2, П-3.3, П-3.4 - 40 процентов;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П-3.1 - 30 процентов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4.7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2.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Общественное питание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color w:val="0000ff"/>
                <w:position w:val="0"/>
                <w:sz w:val="20"/>
                <w:szCs w:val="20"/>
                <w:u w:val="none"/>
              </w:rPr>
              <w:t xml:space="preserve">Классификатором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95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максимальные размеры земельных участков на 100 посадочных мест: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до 50 - 0,2-0,25 га;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от 50 до 150 - 0,15-0,2 га;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свыше 150 - 0,1 га;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минимальный отступ от границ земельного участка - 3 м;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предельное количество этажей: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П-3, П-3.1, П-3.2, П-3.3 - 3 этажа;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П-3.4 - 3 надземных этажа, один из которых мансардный максимальный;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предельная высота до конька зданий, до наивысшей точки зданий (парапета):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П-3.1 - 15 м;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П-3.2 - 19 м;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П-3.3 - 30 м;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П-3.4 - 12 м;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максимальный процент застройки: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П-3, П-3.4 - 50 процентов;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П-3.1 - 30 процентов;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П-3.2, П-3.3 - 40 процентов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4.6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3.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Спорт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color w:val="0000ff"/>
                <w:position w:val="0"/>
                <w:sz w:val="20"/>
                <w:szCs w:val="20"/>
                <w:u w:val="none"/>
              </w:rPr>
              <w:t xml:space="preserve">Классификатором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95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минимальный размер земельного участка - 0,02 га;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минимальный отступ от границ земельного участка - 3 м;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предельное количество этажей: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П-3, П-3.1, П-3.2, П-3.3 - 3 этажа;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П-3.4 - 3 надземных этажа, один из которых мансардный максимальный;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максимальный процент застройки: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для объектов капитального строительства: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П-3, П-3.2, П-3.3, П-3.4 - 40 процентов;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П-3.1 - 30 процентов;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для площадок для занятия спортом - 60 процентов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5.1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4.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Приюты для животных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color w:val="0000ff"/>
                <w:position w:val="0"/>
                <w:sz w:val="20"/>
                <w:szCs w:val="20"/>
                <w:u w:val="none"/>
              </w:rPr>
              <w:t xml:space="preserve">Классификатором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95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минимальный размер земельного участка - 0,03 га на 10 рабочих мест;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минимальный отступ от границ земельного участка - 3 м;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предельное количество этажей: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П-3, П-3.1, П-3.2, П-3.3 - 3 этажа;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П-3.4 - 3 надземных этажа, один из которых мансардный максимальный;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предельная высота до конька зданий, до наивысшей точки зданий (парапета):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П-3.1 - 15 м;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П-3.2 - 19 м;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П-3.3 - 30 м;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П-3.4 - 12 м;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максимальный процент застройки: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П-3, П-3.4 - 50 процентов;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П-3.1 - 30 процентов;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П-3.2, П-3.3 - 40 процентов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3.10.2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5.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Рынки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объекты капитального строительства, сооружения, предназначенные для организации постоянной или временной торговли (ярмарка, рынок, базар), с учетом того, что каждое из торговых мест не располагает торговой площадью более 200 кв. м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95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минимальный размер земельного участка - 0,02;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минимальный отступ от границ земельного участка - 3 м;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предельное количество этажей: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П-3, П-3.1, П-3.2, П-3.3 - 3 этажа;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П-3.4 - 3 надземных этажа, один из которых мансардный максимальный;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предельная высота до конька зданий, до наивысшей точки зданий (парапета):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П-3.1 - 15 м;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П-3.2 - 19 м;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П-3.3 - 30 м;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П-3.4 - 12 м;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максимальный процент застройки: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П-3, П-3.2, П-3.3, П-3.4 - 40 процентов;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П-3.1 - 30 процентов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4.3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6.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Выставочно-ярмарочная деятельность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объекты капитального строительства, сооружения, предназначенные для осуществления выставочно-ярмарочной и конгрессной деятельности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95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минимальный размер земельного участка - 0,1 га;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минимальный отступ от границ земельного участка - 3 м;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предельное количество этажей: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П-3, П-3.2, П-3.3 - 5 этажей;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П-3.1 - 4 надземных этажа, один из которых мансардный;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П-3.4 - 3 надземных этажа, один из которых мансардный максимальный;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максимальный процент застройки: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П-3, П-3.2, П-3.3, П-3.4 - 40 процентов;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П-3.1 - 30 процентов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4.10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7.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Амбулаторно-поликлиническое обслуживание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color w:val="0000ff"/>
                <w:position w:val="0"/>
                <w:sz w:val="20"/>
                <w:szCs w:val="20"/>
                <w:u w:val="none"/>
              </w:rPr>
              <w:t xml:space="preserve">Классификатором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95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минимальный размер земельного участка - 0,3 га;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минимальный отступ от границ земельного участка - 3 м;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предельное количество этажей: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П-3, П-3.1, П-3.2, П-3.3 - 3 этажа;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П-3.4 - 3 надземных этажа, один из которых мансардный максимальный;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предельная высота до конька зданий, до наивысшей точки зданий (парапета):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П-3.1 - 15 м;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П-3.2 - 19 м;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П-3.3 - 30 м;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П-3.4 - 12 м;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максимальный процент застройки: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П-3, П-3.2, П-3.3, П-3.4 - 40 процентов;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П-3.1 - 30 процентов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3.4.1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8.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Магазины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color w:val="0000ff"/>
                <w:position w:val="0"/>
                <w:sz w:val="20"/>
                <w:szCs w:val="20"/>
                <w:u w:val="none"/>
              </w:rPr>
              <w:t xml:space="preserve">Классификатором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95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максимальный размер земельного участка - 0,04 га на 100 кв. м торговой площади;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минимальный отступ от границ земельного участка - 3 м;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предельное количество этажей: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П-3, П-3.2, П-3.3 - 5 этажей;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П-3.1 - 4 надземных этажа, один из которых мансардный;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П-3.4 - 3 надземных этажа, один из которых мансардный максимальный;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предельная высота до конька зданий, до наивысшей точки зданий (парапета):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П-3.1 - 15 м;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П-3.2 - 19 м;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П-3.3 - 30 м;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П-3.4 - 12 м;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максимальный процент застройки: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П-3, П-3.4 - 50 процентов;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П-3.1 - 30 процентов;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П-3.2, П-3.3 - 40 процентов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4.4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9.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Тяжелая промышленность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color w:val="0000ff"/>
                <w:position w:val="0"/>
                <w:sz w:val="20"/>
                <w:szCs w:val="20"/>
                <w:u w:val="none"/>
              </w:rPr>
              <w:t xml:space="preserve">Классификатором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95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максимальный размер земельного участка - 25 га;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минимальный отступ от границ земельного участка - 3 м;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предельное количество этажей: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П-3, П. 3 - 9 этажей;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П-3.1 - 4 надземных этажа, один из которых мансардный;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П-3.2 - 6 надземных этажей, один из которых мансардный;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П-3.4 - 3 надземных этажа, один из которых мансардный максимальный;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максимальный процент застройки: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П-3, П-3.4 - 60 процентов;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П-3.1 - 30 процентов;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П-3.2, П-3.3 - 40 процентов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6.2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10.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Нефтехимическая промышленность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color w:val="0000ff"/>
                <w:position w:val="0"/>
                <w:sz w:val="20"/>
                <w:szCs w:val="20"/>
                <w:u w:val="none"/>
              </w:rPr>
              <w:t xml:space="preserve">Классификатором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95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максимальный размер земельного участка - 25 га;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минимальный отступ от границ земельного участка - 3 м;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предельное количество этажей: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П-3, П-3.3 - 9 этажей;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П-3.1 - 4 надземных этажа, один из которых мансардный;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П-3.2 - 6 надземных этажей, один из которых мансардный;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П-3.4 - 3 надземных этажа, один из которых мансардный максимальный;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предельная высота до конька зданий, до наивысшей точки зданий (парапета):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П-3.1 - 15 м;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П-3.2 - 19 м;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П-3.3 - 30 м;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П-3.4 - 12 м;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максимальный процент застройки: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П-3, П-3.4 - 60 процентов;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П-3.1 - 30 процентов;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П-3.2, П-3.3 - 40 процентов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6.5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11.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Фармацевтическая промышленность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color w:val="0000ff"/>
                <w:position w:val="0"/>
                <w:sz w:val="20"/>
                <w:szCs w:val="20"/>
                <w:u w:val="none"/>
              </w:rPr>
              <w:t xml:space="preserve">Классификатором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95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максимальный размер земельного участка - 25 га;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минимальный отступ от границ земельного участка - 3 м;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предельное количество этажей: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П-3, П-3.3 - 9 этажей;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П-3.1 - 4 надземных этажа, один из которых мансардный;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П-3.2 - 6 надземных этажей, один из которых мансардный;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П-3.4 - 3 надземных этажа, один из которых мансардный максимальный;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предельная высота до конька зданий, до наивысшей точки зданий (парапета):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П-3.1 - 15 м;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П-3.2 - 19 м;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П-3.3 - 30 м;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П-3.4 - 12 м;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максимальный процент застройки: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П-3, П-3.4 - 60 процентов;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П-3.1 - 30 процентов;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П-3.2, П-3.3 - 40 процентов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6.3.1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12.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Автомобилестроительная промышленность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color w:val="0000ff"/>
                <w:position w:val="0"/>
                <w:sz w:val="20"/>
                <w:szCs w:val="20"/>
                <w:u w:val="none"/>
              </w:rPr>
              <w:t xml:space="preserve">Классификатором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95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максимальный размер земельного участка - 25 га;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минимальный отступ от границ земельного участка - 3 м;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предельное количество этажей: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П-3, П-3.3 - 9 этажей;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П-3.1 - 4 надземных этажа, один из которых мансардный;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П-3.2 - 6 надземных этажей, один из которых мансардный;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П-3.4 - 3 надземных этажа, один из которых мансардный максимальный;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предельная высота до конька зданий, до наивысшей точки зданий (парапета):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П-3.1 - 15 м;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П-3.2 - 19 м;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П-3.3 - 30 м;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П-3.4 - 12 м;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максимальный процент застройки: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П-3, П-3.4 - 60 процентов;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П-3.1 - 30 процентов;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П-3.2, П-3.3 - 40 процентов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6.2.1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13.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Бытовое обслуживание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color w:val="0000ff"/>
                <w:position w:val="0"/>
                <w:sz w:val="20"/>
                <w:szCs w:val="20"/>
                <w:u w:val="none"/>
              </w:rPr>
              <w:t xml:space="preserve">Классификатором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95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минимальный размер земельного участка - 0,03 га на 10 рабочих мест;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минимальный отступ от границ земельного участка - 3 м;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предельное количество этажей - 3 этажа;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предельная высота до конька зданий, до наивысшей точки зданий (парапета):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П-3.1 - 15 м;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П-3.2 - 19 м;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П-3.3 - 30 м;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П-3.4 - 12 м;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максимальный процент застройки - 50 процентов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3.3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14.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Водный транспорт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color w:val="0000ff"/>
                <w:position w:val="0"/>
                <w:sz w:val="20"/>
                <w:szCs w:val="20"/>
                <w:u w:val="none"/>
              </w:rPr>
              <w:t xml:space="preserve">Классификатором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95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минимальный размер земельного участка - 0,04 га;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минимальный отступ от границ земельного участка - 3 м;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предельная высота зданий - 5 м;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максимальный процент застройки - 30 процентов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7.3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</w:tc>
      </w:tr>
    </w:tbl>
    <w:p>
      <w:pPr>
        <w:contextualSpacing w:val="0"/>
        <w:ind w:left="0" w:right="0" w:firstLine="0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position w:val="0"/>
          <w:sz w:val="20"/>
          <w:szCs w:val="2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/>
          <w:position w:val="0"/>
          <w:sz w:val="20"/>
          <w:szCs w:val="20"/>
        </w:rPr>
        <w:t xml:space="preserve"> </w:t>
      </w:r>
      <w:r>
        <w:rPr>
          <w:rFonts w:ascii="Times New Roman" w:hAnsi="Times New Roman" w:eastAsia="Times New Roman" w:cs="Times New Roman"/>
          <w:color w:val="000000"/>
          <w:position w:val="0"/>
          <w:sz w:val="20"/>
          <w:szCs w:val="20"/>
        </w:rPr>
        <w:t xml:space="preserve">3.4.3. Для земельных участков и объектов капитального строительства, расположенных в пределах зоны П-3 (подзон П-3.1, П-3.2, П-3.3, П-3.4), устанавливаются следующие вспомогательные виды использования:</w:t>
      </w:r>
      <w:r>
        <w:rPr>
          <w:rFonts w:ascii="Times New Roman" w:hAnsi="Times New Roman" w:cs="Times New Roman"/>
          <w:position w:val="0"/>
          <w:sz w:val="20"/>
          <w:szCs w:val="20"/>
        </w:rPr>
      </w:r>
      <w:r>
        <w:rPr>
          <w:rFonts w:ascii="Times New Roman" w:hAnsi="Times New Roman" w:cs="Times New Roman"/>
          <w:position w:val="0"/>
          <w:sz w:val="20"/>
          <w:szCs w:val="20"/>
        </w:rPr>
      </w:r>
    </w:p>
    <w:tbl>
      <w:tblPr>
        <w:tblStyle w:val="951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435"/>
        <w:gridCol w:w="7860"/>
        <w:gridCol w:w="720"/>
      </w:tblGrid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N п/п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860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Вид использования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Код вида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1.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860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для объектов энергетики: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обслуживающие и вспомогательные для электростанций сооружения (золоотвалы, гидротехнические сооружения)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6.7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2.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860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для складов: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газоконденсатные и газоперекачивающие станции, обслуживающие газохранилища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6.9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3.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860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деятельность, необходимая для обслуживания указанных мероприятий (застройка экспозиционной площади, организация питания участников мероприятий)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4.10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4.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860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размещение гаражей и (или) стоянок для автомобилей сотрудников и посетителей рынка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4.3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</w:tc>
      </w:tr>
    </w:tbl>
    <w:p>
      <w:pPr>
        <w:contextualSpacing w:val="0"/>
        <w:ind w:left="0" w:right="0" w:firstLine="0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position w:val="0"/>
          <w:sz w:val="20"/>
          <w:szCs w:val="2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/>
          <w:position w:val="0"/>
          <w:sz w:val="20"/>
          <w:szCs w:val="20"/>
        </w:rPr>
        <w:t xml:space="preserve"> </w:t>
      </w:r>
      <w:r>
        <w:rPr>
          <w:rFonts w:ascii="Times New Roman" w:hAnsi="Times New Roman" w:eastAsia="Times New Roman" w:cs="Times New Roman"/>
          <w:color w:val="000000"/>
          <w:position w:val="0"/>
          <w:sz w:val="20"/>
          <w:szCs w:val="20"/>
        </w:rPr>
        <w:t xml:space="preserve">3.4.4. Иные параметры, применяемые к объектам и территориям, расположенным в подзонах зоны П-3:</w:t>
      </w:r>
      <w:r>
        <w:rPr>
          <w:rFonts w:ascii="Times New Roman" w:hAnsi="Times New Roman" w:cs="Times New Roman"/>
          <w:position w:val="0"/>
          <w:sz w:val="20"/>
          <w:szCs w:val="20"/>
        </w:rPr>
      </w:r>
      <w:r>
        <w:rPr>
          <w:rFonts w:ascii="Times New Roman" w:hAnsi="Times New Roman" w:cs="Times New Roman"/>
          <w:position w:val="0"/>
          <w:sz w:val="20"/>
          <w:szCs w:val="20"/>
        </w:rPr>
      </w:r>
    </w:p>
    <w:p>
      <w:pPr>
        <w:contextualSpacing w:val="0"/>
        <w:ind w:left="0" w:right="0" w:firstLine="540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position w:val="0"/>
          <w:sz w:val="20"/>
          <w:szCs w:val="2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/>
          <w:position w:val="0"/>
          <w:sz w:val="20"/>
          <w:szCs w:val="20"/>
        </w:rPr>
        <w:t xml:space="preserve">Минимальный процент площади озеленения земельного участка - 25 процентов от общей площади земельного участка.</w:t>
      </w:r>
      <w:r>
        <w:rPr>
          <w:rFonts w:ascii="Times New Roman" w:hAnsi="Times New Roman" w:cs="Times New Roman"/>
          <w:position w:val="0"/>
          <w:sz w:val="20"/>
          <w:szCs w:val="20"/>
        </w:rPr>
      </w:r>
      <w:r>
        <w:rPr>
          <w:rFonts w:ascii="Times New Roman" w:hAnsi="Times New Roman" w:cs="Times New Roman"/>
          <w:position w:val="0"/>
          <w:sz w:val="20"/>
          <w:szCs w:val="20"/>
        </w:rPr>
      </w:r>
    </w:p>
    <w:p>
      <w:pPr>
        <w:contextualSpacing w:val="0"/>
        <w:ind w:left="0" w:right="0" w:firstLine="540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position w:val="0"/>
          <w:sz w:val="20"/>
          <w:szCs w:val="2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/>
          <w:position w:val="0"/>
          <w:sz w:val="20"/>
          <w:szCs w:val="20"/>
        </w:rPr>
        <w:t xml:space="preserve">Процент площади участков, предназначенных для размещения объектов капитального строительства (здания общественно-делового назначения и коммунальные объекты) - 10 процентов от общей площади территории подзон зоны П-3.</w:t>
      </w:r>
      <w:r>
        <w:rPr>
          <w:rFonts w:ascii="Times New Roman" w:hAnsi="Times New Roman" w:cs="Times New Roman"/>
          <w:position w:val="0"/>
          <w:sz w:val="20"/>
          <w:szCs w:val="20"/>
        </w:rPr>
      </w:r>
      <w:r>
        <w:rPr>
          <w:rFonts w:ascii="Times New Roman" w:hAnsi="Times New Roman" w:cs="Times New Roman"/>
          <w:position w:val="0"/>
          <w:sz w:val="20"/>
          <w:szCs w:val="20"/>
        </w:rPr>
      </w:r>
    </w:p>
    <w:p>
      <w:pPr>
        <w:contextualSpacing w:val="0"/>
        <w:ind w:left="0" w:right="0" w:firstLine="540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position w:val="0"/>
          <w:sz w:val="20"/>
          <w:szCs w:val="2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/>
          <w:position w:val="0"/>
          <w:sz w:val="20"/>
          <w:szCs w:val="20"/>
        </w:rPr>
        <w:t xml:space="preserve">Минимальный размер интервалов в уличном фронте застройки - 12 м, максимальный размер интервалов в уличном фронте застройки - 50 м.</w:t>
      </w:r>
      <w:r>
        <w:rPr>
          <w:rFonts w:ascii="Times New Roman" w:hAnsi="Times New Roman" w:cs="Times New Roman"/>
          <w:position w:val="0"/>
          <w:sz w:val="20"/>
          <w:szCs w:val="20"/>
        </w:rPr>
      </w:r>
      <w:r>
        <w:rPr>
          <w:rFonts w:ascii="Times New Roman" w:hAnsi="Times New Roman" w:cs="Times New Roman"/>
          <w:position w:val="0"/>
          <w:sz w:val="20"/>
          <w:szCs w:val="20"/>
        </w:rPr>
      </w:r>
    </w:p>
    <w:p>
      <w:pPr>
        <w:contextualSpacing w:val="0"/>
        <w:ind w:left="0" w:right="0" w:firstLine="540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position w:val="0"/>
          <w:sz w:val="20"/>
          <w:szCs w:val="2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/>
          <w:position w:val="0"/>
          <w:sz w:val="20"/>
          <w:szCs w:val="20"/>
        </w:rPr>
        <w:t xml:space="preserve">Отступ объекта капитального строительства от красных линий кварталов от 0 до 25 м (в соответствии со строительными нормами и правилами).</w:t>
      </w:r>
      <w:r>
        <w:rPr>
          <w:rFonts w:ascii="Times New Roman" w:hAnsi="Times New Roman" w:cs="Times New Roman"/>
          <w:position w:val="0"/>
          <w:sz w:val="20"/>
          <w:szCs w:val="20"/>
        </w:rPr>
      </w:r>
      <w:r>
        <w:rPr>
          <w:rFonts w:ascii="Times New Roman" w:hAnsi="Times New Roman" w:cs="Times New Roman"/>
          <w:position w:val="0"/>
          <w:sz w:val="20"/>
          <w:szCs w:val="20"/>
        </w:rPr>
      </w:r>
    </w:p>
    <w:p>
      <w:pPr>
        <w:contextualSpacing w:val="0"/>
        <w:ind w:left="0" w:right="0" w:firstLine="540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position w:val="0"/>
          <w:sz w:val="20"/>
          <w:szCs w:val="2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/>
          <w:position w:val="0"/>
          <w:sz w:val="20"/>
          <w:szCs w:val="20"/>
        </w:rPr>
        <w:t xml:space="preserve">Иные параметры, применяемые для прочих отдельно стоящих зданий и сооружений, в том числе некапитальных строений и сооружений:</w:t>
      </w:r>
      <w:r>
        <w:rPr>
          <w:rFonts w:ascii="Times New Roman" w:hAnsi="Times New Roman" w:cs="Times New Roman"/>
          <w:position w:val="0"/>
          <w:sz w:val="20"/>
          <w:szCs w:val="20"/>
        </w:rPr>
      </w:r>
      <w:r>
        <w:rPr>
          <w:rFonts w:ascii="Times New Roman" w:hAnsi="Times New Roman" w:cs="Times New Roman"/>
          <w:position w:val="0"/>
          <w:sz w:val="20"/>
          <w:szCs w:val="20"/>
        </w:rPr>
      </w:r>
    </w:p>
    <w:p>
      <w:pPr>
        <w:contextualSpacing w:val="0"/>
        <w:ind w:left="0" w:right="0" w:firstLine="540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position w:val="0"/>
          <w:sz w:val="20"/>
          <w:szCs w:val="2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/>
          <w:position w:val="0"/>
          <w:sz w:val="20"/>
          <w:szCs w:val="20"/>
        </w:rPr>
        <w:t xml:space="preserve">- максимальный процент застройки земельного участка - 10 процентов от общей площади земельного участка.;</w:t>
      </w:r>
      <w:r>
        <w:rPr>
          <w:rFonts w:ascii="Times New Roman" w:hAnsi="Times New Roman" w:cs="Times New Roman"/>
          <w:position w:val="0"/>
          <w:sz w:val="20"/>
          <w:szCs w:val="20"/>
        </w:rPr>
      </w:r>
      <w:r>
        <w:rPr>
          <w:rFonts w:ascii="Times New Roman" w:hAnsi="Times New Roman" w:cs="Times New Roman"/>
          <w:position w:val="0"/>
          <w:sz w:val="20"/>
          <w:szCs w:val="20"/>
        </w:rPr>
      </w:r>
    </w:p>
    <w:p>
      <w:pPr>
        <w:contextualSpacing w:val="0"/>
        <w:ind w:left="0" w:right="0" w:firstLine="540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position w:val="0"/>
          <w:sz w:val="20"/>
          <w:szCs w:val="2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/>
          <w:position w:val="0"/>
          <w:sz w:val="20"/>
          <w:szCs w:val="20"/>
        </w:rPr>
        <w:t xml:space="preserve">- максимальная высота - не устанавливается.</w:t>
      </w:r>
      <w:r>
        <w:rPr>
          <w:rFonts w:ascii="Times New Roman" w:hAnsi="Times New Roman" w:eastAsia="Times New Roman" w:cs="Times New Roman"/>
          <w:position w:val="0"/>
          <w:sz w:val="20"/>
          <w:szCs w:val="20"/>
          <w:highlight w:val="none"/>
        </w:rPr>
        <w:t xml:space="preserve">»</w:t>
      </w:r>
      <w:r>
        <w:rPr>
          <w:rFonts w:ascii="Times New Roman" w:hAnsi="Times New Roman" w:cs="Times New Roman"/>
          <w:position w:val="0"/>
          <w:sz w:val="20"/>
          <w:szCs w:val="20"/>
        </w:rPr>
      </w:r>
      <w:r>
        <w:rPr>
          <w:rFonts w:ascii="Times New Roman" w:hAnsi="Times New Roman" w:cs="Times New Roman"/>
          <w:position w:val="0"/>
          <w:sz w:val="20"/>
          <w:szCs w:val="20"/>
        </w:rPr>
      </w:r>
    </w:p>
    <w:p>
      <w:pPr>
        <w:ind w:firstLine="709"/>
        <w:jc w:val="both"/>
        <w:spacing w:before="0" w:beforeAutospacing="0" w:after="0" w:afterAutospacing="0" w:line="240" w:lineRule="auto"/>
        <w:rPr>
          <w:sz w:val="20"/>
          <w:szCs w:val="20"/>
          <w:highlight w:val="none"/>
          <w14:ligatures w14:val="none"/>
        </w:rPr>
      </w:pPr>
      <w:r>
        <w:rPr>
          <w:sz w:val="20"/>
          <w:szCs w:val="20"/>
        </w:rPr>
        <w:br w:type="page" w:clear="all"/>
      </w:r>
      <w:r>
        <w:rPr>
          <w:sz w:val="20"/>
          <w:szCs w:val="20"/>
          <w:highlight w:val="none"/>
          <w14:ligatures w14:val="none"/>
        </w:rPr>
      </w:r>
      <w:r>
        <w:rPr>
          <w:sz w:val="20"/>
          <w:szCs w:val="20"/>
          <w:highlight w:val="none"/>
          <w14:ligatures w14:val="none"/>
        </w:rPr>
      </w:r>
    </w:p>
    <w:p>
      <w:pPr>
        <w:pStyle w:val="751"/>
        <w:ind w:firstLine="709"/>
        <w:jc w:val="right"/>
        <w:spacing w:before="0" w:beforeAutospacing="0" w:after="0" w:afterAutospacing="0" w:line="240" w:lineRule="auto"/>
        <w:widowControl w:val="off"/>
        <w:rPr>
          <w:sz w:val="20"/>
          <w:szCs w:val="20"/>
        </w:rPr>
      </w:pPr>
      <w:r>
        <w:rPr>
          <w:sz w:val="20"/>
          <w:szCs w:val="20"/>
        </w:rPr>
        <w:t xml:space="preserve">Приложение 1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751"/>
        <w:ind w:firstLine="851"/>
        <w:jc w:val="both"/>
        <w:spacing w:before="0" w:beforeAutospacing="0" w:after="0" w:afterAutospacing="0" w:line="240" w:lineRule="auto"/>
        <w:widowControl w:val="off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751"/>
        <w:jc w:val="center"/>
        <w:spacing w:before="0" w:beforeAutospacing="0" w:after="0" w:afterAutospacing="0" w:line="240" w:lineRule="auto"/>
        <w:rPr>
          <w:sz w:val="20"/>
          <w:szCs w:val="20"/>
        </w:rPr>
      </w:pPr>
      <w:r>
        <w:rPr>
          <w:b/>
          <w:sz w:val="20"/>
          <w:szCs w:val="20"/>
          <w:lang w:eastAsia="zh-CN"/>
        </w:rPr>
        <w:t xml:space="preserve">ФОРМА</w:t>
      </w:r>
      <w:r>
        <w:rPr>
          <w:b/>
          <w:sz w:val="20"/>
          <w:szCs w:val="20"/>
          <w:lang w:eastAsia="zh-CN"/>
        </w:rPr>
        <w:t xml:space="preserve"> </w:t>
      </w:r>
      <w:r>
        <w:rPr>
          <w:b/>
          <w:sz w:val="20"/>
          <w:szCs w:val="20"/>
          <w:lang w:eastAsia="zh-CN"/>
        </w:rPr>
        <w:t xml:space="preserve">ЗАЯВКИ </w:t>
      </w:r>
      <w:r>
        <w:rPr>
          <w:b/>
          <w:sz w:val="20"/>
          <w:szCs w:val="20"/>
          <w:lang w:eastAsia="zh-CN"/>
        </w:rPr>
        <w:t xml:space="preserve">НА УЧАСТИЕ В АУКЦИОНЕ В ЭЛЕКТРОННОЙ ФОРМЕ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751"/>
        <w:spacing w:before="0" w:beforeAutospacing="0" w:after="0" w:afterAutospacing="0" w:line="240" w:lineRule="auto"/>
        <w:rPr>
          <w:sz w:val="20"/>
          <w:szCs w:val="20"/>
        </w:rPr>
      </w:pPr>
      <w:r>
        <w:rPr>
          <w:b/>
          <w:sz w:val="20"/>
          <w:szCs w:val="20"/>
          <w:lang w:eastAsia="zh-CN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751"/>
        <w:spacing w:before="0" w:beforeAutospacing="0" w:after="0" w:afterAutospacing="0" w:line="240" w:lineRule="auto"/>
        <w:rPr>
          <w:sz w:val="20"/>
          <w:szCs w:val="20"/>
        </w:rPr>
      </w:pPr>
      <w:r>
        <w:rPr>
          <w:b/>
          <w:sz w:val="20"/>
          <w:szCs w:val="20"/>
          <w:lang w:eastAsia="zh-CN"/>
        </w:rPr>
        <w:t xml:space="preserve">В Управление имущественных и земельных отношений Администрации города Костромы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751"/>
        <w:spacing w:before="0" w:beforeAutospacing="0" w:after="0" w:afterAutospacing="0" w:line="240" w:lineRule="auto"/>
        <w:rPr>
          <w:sz w:val="20"/>
          <w:szCs w:val="20"/>
        </w:rPr>
      </w:pPr>
      <w:r>
        <w:rPr>
          <w:b/>
          <w:sz w:val="20"/>
          <w:szCs w:val="20"/>
          <w:lang w:eastAsia="zh-CN"/>
        </w:rPr>
        <w:t xml:space="preserve">Заявитель</w:t>
      </w:r>
      <w:r>
        <w:rPr>
          <w:sz w:val="20"/>
          <w:szCs w:val="20"/>
          <w:lang w:eastAsia="zh-CN"/>
        </w:rPr>
        <w:t xml:space="preserve"> 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751"/>
        <w:spacing w:before="0" w:beforeAutospacing="0" w:after="0" w:afterAutospacing="0" w:line="240" w:lineRule="auto"/>
        <w:rPr>
          <w:sz w:val="20"/>
          <w:szCs w:val="20"/>
        </w:rPr>
        <w:pBdr>
          <w:bottom w:val="single" w:color="000000" w:sz="4" w:space="0"/>
        </w:pBdr>
      </w:pPr>
      <w:r>
        <w:rPr>
          <w:sz w:val="20"/>
          <w:szCs w:val="20"/>
          <w:lang w:eastAsia="zh-CN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751"/>
        <w:jc w:val="center"/>
        <w:spacing w:before="0" w:beforeAutospacing="0" w:after="0" w:afterAutospacing="0" w:line="240" w:lineRule="auto"/>
        <w:rPr>
          <w:sz w:val="20"/>
          <w:szCs w:val="20"/>
        </w:rPr>
      </w:pPr>
      <w:r>
        <w:rPr>
          <w:sz w:val="20"/>
          <w:szCs w:val="20"/>
          <w:lang w:eastAsia="zh-CN"/>
        </w:rPr>
        <w:t xml:space="preserve">           </w:t>
      </w:r>
      <w:r>
        <w:rPr>
          <w:sz w:val="20"/>
          <w:szCs w:val="20"/>
          <w:lang w:eastAsia="zh-CN"/>
        </w:rPr>
        <w:t xml:space="preserve">(</w:t>
      </w:r>
      <w:r>
        <w:rPr>
          <w:bCs/>
          <w:sz w:val="20"/>
          <w:szCs w:val="20"/>
          <w:lang w:eastAsia="zh-CN"/>
        </w:rPr>
        <w:t xml:space="preserve">Ф.И.О., гражданина,  индивидуального предпринимателя,</w:t>
      </w:r>
      <w:r>
        <w:rPr>
          <w:bCs/>
          <w:sz w:val="20"/>
          <w:szCs w:val="20"/>
          <w:lang w:eastAsia="zh-CN"/>
        </w:rPr>
        <w:br/>
      </w:r>
      <w:r>
        <w:rPr>
          <w:bCs/>
          <w:sz w:val="20"/>
          <w:szCs w:val="20"/>
          <w:lang w:eastAsia="zh-CN"/>
        </w:rPr>
        <w:t xml:space="preserve">наименование юридического лица с указанием организационно-правовой формы</w:t>
      </w:r>
      <w:r>
        <w:rPr>
          <w:sz w:val="20"/>
          <w:szCs w:val="20"/>
          <w:lang w:eastAsia="zh-CN"/>
        </w:rPr>
        <w:t xml:space="preserve">)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751"/>
        <w:jc w:val="both"/>
        <w:spacing w:before="0" w:beforeAutospacing="0" w:after="0" w:afterAutospacing="0" w:line="240" w:lineRule="auto"/>
        <w:rPr>
          <w:sz w:val="20"/>
          <w:szCs w:val="20"/>
        </w:rPr>
        <w:pBdr>
          <w:bottom w:val="single" w:color="000000" w:sz="4" w:space="0"/>
        </w:pBdr>
      </w:pPr>
      <w:r>
        <w:rPr>
          <w:b/>
          <w:sz w:val="20"/>
          <w:szCs w:val="20"/>
          <w:lang w:eastAsia="zh-CN"/>
        </w:rPr>
        <w:t xml:space="preserve">в лице</w:t>
      </w:r>
      <w:r>
        <w:rPr>
          <w:sz w:val="20"/>
          <w:szCs w:val="20"/>
          <w:lang w:eastAsia="zh-CN"/>
        </w:rPr>
        <w:t xml:space="preserve"> </w:t>
        <w:tab/>
        <w:t xml:space="preserve"> 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751"/>
        <w:jc w:val="center"/>
        <w:spacing w:before="0" w:beforeAutospacing="0" w:after="0" w:afterAutospacing="0" w:line="240" w:lineRule="auto"/>
        <w:rPr>
          <w:sz w:val="20"/>
          <w:szCs w:val="20"/>
        </w:rPr>
      </w:pPr>
      <w:r>
        <w:rPr>
          <w:sz w:val="20"/>
          <w:szCs w:val="20"/>
          <w:lang w:eastAsia="zh-CN"/>
        </w:rPr>
        <w:t xml:space="preserve">(</w:t>
      </w:r>
      <w:r>
        <w:rPr>
          <w:bCs/>
          <w:sz w:val="20"/>
          <w:szCs w:val="20"/>
          <w:lang w:eastAsia="zh-CN"/>
        </w:rPr>
        <w:t xml:space="preserve">Ф.И.О. руководителя юридического лица или уполномоченного лица, лица действующего на основании доверенности</w:t>
      </w:r>
      <w:r>
        <w:rPr>
          <w:sz w:val="20"/>
          <w:szCs w:val="20"/>
          <w:lang w:eastAsia="zh-CN"/>
        </w:rPr>
        <w:t xml:space="preserve">)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751"/>
        <w:jc w:val="both"/>
        <w:spacing w:before="0" w:beforeAutospacing="0" w:after="0" w:afterAutospacing="0" w:line="240" w:lineRule="auto"/>
        <w:rPr>
          <w:sz w:val="20"/>
          <w:szCs w:val="20"/>
        </w:rPr>
        <w:pBdr>
          <w:bottom w:val="single" w:color="000000" w:sz="4" w:space="0"/>
        </w:pBdr>
      </w:pPr>
      <w:r>
        <w:rPr>
          <w:b/>
          <w:bCs/>
          <w:sz w:val="20"/>
          <w:szCs w:val="20"/>
          <w:lang w:eastAsia="zh-CN"/>
        </w:rPr>
        <w:t xml:space="preserve">действующего на основании</w:t>
      </w:r>
      <w:r>
        <w:rPr>
          <w:rStyle w:val="788"/>
          <w:b/>
          <w:bCs/>
          <w:sz w:val="20"/>
          <w:szCs w:val="20"/>
          <w:vertAlign w:val="superscript"/>
          <w:lang w:eastAsia="zh-CN"/>
        </w:rPr>
        <w:footnoteReference w:id="2"/>
      </w:r>
      <w:r>
        <w:rPr>
          <w:b/>
          <w:bCs/>
          <w:sz w:val="20"/>
          <w:szCs w:val="20"/>
          <w:lang w:eastAsia="zh-CN"/>
        </w:rPr>
        <w:t xml:space="preserve"> 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751"/>
        <w:jc w:val="center"/>
        <w:spacing w:before="0" w:beforeAutospacing="0" w:after="0" w:afterAutospacing="0" w:line="240" w:lineRule="auto"/>
        <w:rPr>
          <w:sz w:val="20"/>
          <w:szCs w:val="20"/>
        </w:rPr>
      </w:pPr>
      <w:r>
        <w:rPr>
          <w:sz w:val="20"/>
          <w:szCs w:val="20"/>
          <w:lang w:eastAsia="zh-CN"/>
        </w:rPr>
        <w:t xml:space="preserve">(</w:t>
      </w:r>
      <w:r>
        <w:rPr>
          <w:sz w:val="20"/>
          <w:szCs w:val="20"/>
          <w:lang w:eastAsia="zh-CN"/>
        </w:rPr>
        <w:t xml:space="preserve">Устав, Положение, Соглашение, Доверенности и т.д</w:t>
      </w:r>
      <w:r>
        <w:rPr>
          <w:sz w:val="20"/>
          <w:szCs w:val="20"/>
          <w:lang w:eastAsia="zh-CN"/>
        </w:rPr>
        <w:t xml:space="preserve">.)</w:t>
      </w:r>
      <w:r>
        <w:rPr>
          <w:sz w:val="20"/>
          <w:szCs w:val="20"/>
        </w:rPr>
      </w:r>
      <w:r>
        <w:rPr>
          <w:sz w:val="20"/>
          <w:szCs w:val="20"/>
        </w:rPr>
      </w:r>
    </w:p>
    <w:tbl>
      <w:tblPr>
        <w:tblW w:w="10496" w:type="dxa"/>
        <w:tblInd w:w="-76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000" w:firstRow="0" w:lastRow="0" w:firstColumn="0" w:lastColumn="0" w:noHBand="0" w:noVBand="0"/>
      </w:tblPr>
      <w:tblGrid>
        <w:gridCol w:w="10496"/>
      </w:tblGrid>
      <w:tr>
        <w:tblPrEx/>
        <w:trPr>
          <w:trHeight w:val="1124"/>
        </w:trPr>
        <w:tc>
          <w:tcPr>
            <w:shd w:val="clear" w:color="ffffff" w:fill="ffffff"/>
            <w:tcBorders>
              <w:top w:val="single" w:color="C0C0C0" w:sz="6" w:space="0"/>
              <w:left w:val="single" w:color="C0C0C0" w:sz="6" w:space="0"/>
              <w:bottom w:val="single" w:color="C0C0C0" w:sz="6" w:space="0"/>
              <w:right w:val="single" w:color="C0C0C0" w:sz="6" w:space="0"/>
            </w:tcBorders>
            <w:tcW w:w="10496" w:type="dxa"/>
            <w:vAlign w:val="center"/>
            <w:textDirection w:val="lrTb"/>
            <w:noWrap w:val="false"/>
          </w:tcPr>
          <w:p>
            <w:pPr>
              <w:pStyle w:val="751"/>
              <w:jc w:val="both"/>
              <w:spacing w:before="0" w:beforeAutospacing="0" w:after="0" w:afterAutospacing="0" w:line="240" w:lineRule="auto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  <w:lang w:eastAsia="zh-CN"/>
              </w:rPr>
              <w:t xml:space="preserve">Паспортные данные Заявителя: серия                                                   №                                                                                          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751"/>
              <w:jc w:val="both"/>
              <w:spacing w:before="0" w:beforeAutospacing="0" w:after="0" w:afterAutospacing="0" w:line="240" w:lineRule="auto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  <w:lang w:eastAsia="zh-CN"/>
              </w:rPr>
              <w:t xml:space="preserve">дата выдачи</w:t>
            </w:r>
            <w:r>
              <w:rPr>
                <w:sz w:val="20"/>
                <w:szCs w:val="20"/>
                <w:lang w:eastAsia="zh-CN"/>
              </w:rPr>
              <w:t xml:space="preserve">_______________</w:t>
            </w:r>
            <w:r>
              <w:rPr>
                <w:sz w:val="20"/>
                <w:szCs w:val="20"/>
                <w:u w:val="single"/>
                <w:lang w:eastAsia="zh-CN"/>
              </w:rPr>
              <w:t xml:space="preserve"> 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751"/>
              <w:jc w:val="both"/>
              <w:spacing w:before="0" w:beforeAutospacing="0" w:after="0" w:afterAutospacing="0" w:line="240" w:lineRule="auto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  <w:lang w:eastAsia="zh-CN"/>
              </w:rPr>
              <w:t xml:space="preserve">кем выдан: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751"/>
              <w:jc w:val="both"/>
              <w:spacing w:before="0" w:beforeAutospacing="0" w:after="0" w:afterAutospacing="0" w:line="240" w:lineRule="auto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  <w:lang w:eastAsia="zh-CN"/>
              </w:rPr>
              <w:t xml:space="preserve">Адрес:  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751"/>
              <w:jc w:val="both"/>
              <w:spacing w:before="0" w:beforeAutospacing="0" w:after="0" w:afterAutospacing="0" w:line="240" w:lineRule="auto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  <w:lang w:eastAsia="zh-CN"/>
              </w:rPr>
              <w:t xml:space="preserve">Контактный телефон:   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751"/>
              <w:jc w:val="both"/>
              <w:spacing w:before="0" w:beforeAutospacing="0" w:after="0" w:afterAutospacing="0" w:line="240" w:lineRule="auto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  <w:lang w:eastAsia="zh-CN"/>
              </w:rPr>
              <w:t xml:space="preserve">ОГРНИП (для индивидуального предпринимателя): № 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751"/>
              <w:jc w:val="both"/>
              <w:spacing w:before="0" w:beforeAutospacing="0" w:after="0" w:afterAutospacing="0" w:line="240" w:lineRule="auto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  <w:lang w:eastAsia="zh-CN"/>
              </w:rPr>
              <w:t xml:space="preserve">ИНН                                       КПП                                          ОГРН                        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1179"/>
        </w:trPr>
        <w:tc>
          <w:tcPr>
            <w:shd w:val="clear" w:color="ffffff" w:fill="ffffff"/>
            <w:tcBorders>
              <w:top w:val="single" w:color="C0C0C0" w:sz="6" w:space="0"/>
              <w:left w:val="single" w:color="C0C0C0" w:sz="6" w:space="0"/>
              <w:bottom w:val="single" w:color="C0C0C0" w:sz="6" w:space="0"/>
              <w:right w:val="single" w:color="C0C0C0" w:sz="6" w:space="0"/>
            </w:tcBorders>
            <w:tcW w:w="10496" w:type="dxa"/>
            <w:textDirection w:val="lrTb"/>
            <w:noWrap w:val="false"/>
          </w:tcPr>
          <w:p>
            <w:pPr>
              <w:pStyle w:val="751"/>
              <w:spacing w:before="0" w:beforeAutospacing="0" w:after="0" w:afterAutospacing="0" w:line="240" w:lineRule="auto"/>
              <w:widowControl w:val="off"/>
              <w:rPr>
                <w:sz w:val="20"/>
                <w:szCs w:val="20"/>
              </w:rPr>
              <w:pBdr>
                <w:bottom w:val="single" w:color="000000" w:sz="4" w:space="0"/>
              </w:pBdr>
            </w:pPr>
            <w:r>
              <w:rPr>
                <w:b/>
                <w:sz w:val="20"/>
                <w:szCs w:val="20"/>
                <w:lang w:eastAsia="zh-CN"/>
              </w:rPr>
              <w:t xml:space="preserve">Представитель Заявителя</w:t>
            </w:r>
            <w:r>
              <w:rPr>
                <w:rStyle w:val="788"/>
                <w:b/>
                <w:sz w:val="20"/>
                <w:szCs w:val="20"/>
                <w:vertAlign w:val="superscript"/>
                <w:lang w:eastAsia="zh-CN"/>
              </w:rPr>
              <w:footnoteReference w:id="3"/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751"/>
              <w:jc w:val="center"/>
              <w:spacing w:before="0" w:beforeAutospacing="0" w:after="0" w:afterAutospacing="0" w:line="240" w:lineRule="auto"/>
              <w:widowControl w:val="off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eastAsia="zh-CN"/>
              </w:rPr>
              <w:t xml:space="preserve">(Ф.И.О,)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751"/>
              <w:jc w:val="both"/>
              <w:spacing w:before="0" w:beforeAutospacing="0" w:after="0" w:afterAutospacing="0" w:line="240" w:lineRule="auto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  <w:lang w:eastAsia="zh-CN"/>
              </w:rPr>
              <w:t xml:space="preserve">Паспортные данные представителя: серия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751"/>
              <w:jc w:val="both"/>
              <w:spacing w:before="0" w:beforeAutospacing="0" w:after="0" w:afterAutospacing="0" w:line="240" w:lineRule="auto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  <w:lang w:eastAsia="zh-CN"/>
              </w:rPr>
              <w:t xml:space="preserve">дата выдачи 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751"/>
              <w:jc w:val="both"/>
              <w:spacing w:before="0" w:beforeAutospacing="0" w:after="0" w:afterAutospacing="0" w:line="240" w:lineRule="auto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  <w:lang w:eastAsia="zh-CN"/>
              </w:rPr>
              <w:t xml:space="preserve">кем выдан:   </w:t>
            </w: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  <w:u w:val="single"/>
                <w:lang w:eastAsia="zh-CN"/>
              </w:rPr>
              <w:instrText xml:space="preserve">RepresentativePassportIssuer</w:instrText>
            </w:r>
            <w:r>
              <w:rPr>
                <w:sz w:val="20"/>
                <w:szCs w:val="20"/>
                <w:u w:val="single"/>
                <w:lang w:eastAsia="zh-CN"/>
              </w:rPr>
              <w:fldChar w:fldCharType="separate"/>
            </w:r>
            <w:r>
              <w:rPr>
                <w:b/>
                <w:bCs/>
                <w:sz w:val="20"/>
                <w:szCs w:val="20"/>
                <w:u w:val="single"/>
                <w:lang w:eastAsia="zh-CN"/>
              </w:rPr>
              <w:t xml:space="preserve">  </w:t>
            </w:r>
            <w:r>
              <w:rPr>
                <w:sz w:val="20"/>
                <w:szCs w:val="20"/>
                <w:u w:val="single"/>
                <w:lang w:eastAsia="zh-CN"/>
              </w:rPr>
              <w:fldChar w:fldCharType="end"/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751"/>
              <w:jc w:val="both"/>
              <w:spacing w:before="0" w:beforeAutospacing="0" w:after="0" w:afterAutospacing="0" w:line="240" w:lineRule="auto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  <w:lang w:eastAsia="zh-CN"/>
              </w:rPr>
              <w:t xml:space="preserve">Адрес:   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751"/>
              <w:jc w:val="both"/>
              <w:spacing w:before="0" w:beforeAutospacing="0" w:after="0" w:afterAutospacing="0" w:line="240" w:lineRule="auto"/>
              <w:widowControl w:val="off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  <w:lang w:eastAsia="zh-CN"/>
              </w:rPr>
              <w:t xml:space="preserve">Контактный телефон:   </w:t>
            </w: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  <w:u w:val="single"/>
                <w:lang w:eastAsia="zh-CN"/>
              </w:rPr>
              <w:instrText xml:space="preserve">RepresentativePhoneNumber</w:instrText>
            </w:r>
            <w:r>
              <w:rPr>
                <w:sz w:val="20"/>
                <w:szCs w:val="20"/>
                <w:u w:val="single"/>
                <w:lang w:eastAsia="zh-CN"/>
              </w:rPr>
              <w:fldChar w:fldCharType="separate"/>
            </w:r>
            <w:r>
              <w:rPr>
                <w:b/>
                <w:bCs/>
                <w:sz w:val="20"/>
                <w:szCs w:val="20"/>
                <w:u w:val="single"/>
                <w:lang w:eastAsia="zh-CN"/>
              </w:rPr>
              <w:t xml:space="preserve"> </w:t>
            </w:r>
            <w:r>
              <w:rPr>
                <w:sz w:val="20"/>
                <w:szCs w:val="20"/>
                <w:u w:val="single"/>
                <w:lang w:eastAsia="zh-CN"/>
              </w:rPr>
              <w:fldChar w:fldCharType="end"/>
            </w:r>
            <w:r>
              <w:rPr>
                <w:rFonts w:eastAsia="Calibri"/>
                <w:b/>
                <w:bCs/>
                <w:sz w:val="20"/>
                <w:szCs w:val="20"/>
              </w:rPr>
            </w:r>
            <w:r>
              <w:rPr>
                <w:rFonts w:eastAsia="Calibri"/>
                <w:b/>
                <w:bCs/>
                <w:sz w:val="20"/>
                <w:szCs w:val="20"/>
              </w:rPr>
            </w:r>
          </w:p>
        </w:tc>
      </w:tr>
    </w:tbl>
    <w:p>
      <w:pPr>
        <w:pStyle w:val="751"/>
        <w:ind w:hanging="1"/>
        <w:jc w:val="both"/>
        <w:spacing w:before="0" w:beforeAutospacing="0" w:after="0" w:afterAutospacing="0" w:line="240" w:lineRule="auto"/>
        <w:widowControl w:val="off"/>
        <w:rPr>
          <w:sz w:val="20"/>
          <w:szCs w:val="20"/>
        </w:rPr>
      </w:pPr>
      <w:r>
        <w:rPr>
          <w:sz w:val="20"/>
          <w:szCs w:val="20"/>
          <w:lang w:eastAsia="zh-CN"/>
        </w:rPr>
      </w:r>
      <w:r>
        <w:rPr>
          <w:b/>
          <w:sz w:val="20"/>
          <w:szCs w:val="20"/>
          <w:lang w:eastAsia="zh-CN"/>
        </w:rPr>
        <w:t xml:space="preserve">принял решение об участии в аукционе на право заключения договора аренды земельного участка </w:t>
      </w:r>
      <w:r>
        <w:rPr>
          <w:b/>
          <w:sz w:val="20"/>
          <w:szCs w:val="20"/>
          <w:lang w:eastAsia="zh-CN"/>
        </w:rPr>
        <w:t xml:space="preserve">с кадастровым номером:_______________________________________, расположенного по адресу (местоположение): ___________________________________________________________________________, в электронной форме, и обязуется обеспечить поступление задатка в размере</w:t>
      </w:r>
      <w:r>
        <w:rPr>
          <w:sz w:val="20"/>
          <w:szCs w:val="20"/>
          <w:u w:val="single"/>
          <w:lang w:eastAsia="zh-CN"/>
        </w:rPr>
        <w:t xml:space="preserve">                                                                            </w:t>
      </w:r>
      <w:r>
        <w:rPr>
          <w:b/>
          <w:sz w:val="20"/>
          <w:szCs w:val="20"/>
          <w:lang w:eastAsia="zh-CN"/>
        </w:rPr>
        <w:t xml:space="preserve">руб.</w:t>
      </w:r>
      <w:r>
        <w:rPr>
          <w:sz w:val="20"/>
          <w:szCs w:val="20"/>
          <w:u w:val="single"/>
          <w:lang w:eastAsia="zh-CN"/>
        </w:rPr>
        <w:t xml:space="preserve">            (сумма прописью)</w:t>
      </w:r>
      <w:r>
        <w:rPr>
          <w:sz w:val="20"/>
          <w:szCs w:val="20"/>
          <w:lang w:eastAsia="zh-CN"/>
        </w:rPr>
        <w:t xml:space="preserve">, </w:t>
      </w:r>
      <w:r>
        <w:rPr>
          <w:b/>
          <w:sz w:val="20"/>
          <w:szCs w:val="20"/>
          <w:lang w:eastAsia="zh-CN"/>
        </w:rPr>
        <w:t xml:space="preserve">в сроки и в порядке, установленные в Извещении о проведении аукциона в электронной форме, и в соответствии с Регламентом Оператора электронной площадки.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751"/>
        <w:ind w:firstLine="142"/>
        <w:jc w:val="both"/>
        <w:spacing w:before="0" w:beforeAutospacing="0" w:after="0" w:afterAutospacing="0" w:line="240" w:lineRule="auto"/>
        <w:widowControl w:val="off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751"/>
        <w:ind w:firstLine="142"/>
        <w:jc w:val="both"/>
        <w:spacing w:before="0" w:beforeAutospacing="0" w:after="0" w:afterAutospacing="0" w:line="240" w:lineRule="auto"/>
        <w:widowControl w:val="off"/>
        <w:rPr>
          <w:sz w:val="20"/>
          <w:szCs w:val="20"/>
        </w:rPr>
      </w:pPr>
      <w:r>
        <w:rPr>
          <w:b/>
          <w:sz w:val="20"/>
          <w:szCs w:val="20"/>
        </w:rPr>
        <w:t xml:space="preserve">Банковские реквизиты для возврата задатка: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751"/>
        <w:ind w:firstLine="142"/>
        <w:jc w:val="both"/>
        <w:spacing w:before="0" w:beforeAutospacing="0" w:after="0" w:afterAutospacing="0" w:line="240" w:lineRule="auto"/>
        <w:widowControl w:val="off"/>
        <w:rPr>
          <w:sz w:val="20"/>
          <w:szCs w:val="20"/>
        </w:rPr>
      </w:pPr>
      <w:r>
        <w:rPr>
          <w:sz w:val="20"/>
          <w:szCs w:val="20"/>
        </w:rPr>
        <w:t xml:space="preserve">Банк ______________________________________________________________________________________________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751"/>
        <w:ind w:firstLine="142"/>
        <w:jc w:val="both"/>
        <w:spacing w:before="0" w:beforeAutospacing="0" w:after="0" w:afterAutospacing="0" w:line="240" w:lineRule="auto"/>
        <w:widowControl w:val="off"/>
        <w:rPr>
          <w:sz w:val="20"/>
          <w:szCs w:val="20"/>
        </w:rPr>
      </w:pPr>
      <w:r>
        <w:rPr>
          <w:sz w:val="20"/>
          <w:szCs w:val="20"/>
        </w:rPr>
        <w:t xml:space="preserve">Расчётный счёт _______________________________ Корреспондентский счёт _______________________________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751"/>
        <w:ind w:firstLine="142"/>
        <w:jc w:val="both"/>
        <w:spacing w:before="0" w:beforeAutospacing="0" w:after="0" w:afterAutospacing="0" w:line="240" w:lineRule="auto"/>
        <w:widowControl w:val="off"/>
        <w:rPr>
          <w:sz w:val="20"/>
          <w:szCs w:val="20"/>
        </w:rPr>
      </w:pPr>
      <w:r>
        <w:rPr>
          <w:sz w:val="20"/>
          <w:szCs w:val="20"/>
        </w:rPr>
        <w:t xml:space="preserve">БИК_________________________________________ Лицевой счёт _________________________________________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751"/>
        <w:ind w:firstLine="142"/>
        <w:jc w:val="both"/>
        <w:spacing w:before="0" w:beforeAutospacing="0" w:after="0" w:afterAutospacing="0" w:line="240" w:lineRule="auto"/>
        <w:widowControl w:val="off"/>
        <w:rPr>
          <w:sz w:val="20"/>
          <w:szCs w:val="20"/>
        </w:rPr>
      </w:pPr>
      <w:r>
        <w:rPr>
          <w:sz w:val="20"/>
          <w:szCs w:val="20"/>
        </w:rPr>
        <w:t xml:space="preserve">Ф. И. О. (наименование) получателя ___________________________________________________________________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751"/>
        <w:ind w:firstLine="142"/>
        <w:jc w:val="both"/>
        <w:spacing w:before="0" w:beforeAutospacing="0" w:after="0" w:afterAutospacing="0" w:line="240" w:lineRule="auto"/>
        <w:widowControl w:val="off"/>
        <w:rPr>
          <w:sz w:val="20"/>
          <w:szCs w:val="20"/>
        </w:rPr>
      </w:pPr>
      <w:r>
        <w:rPr>
          <w:b/>
          <w:sz w:val="20"/>
          <w:szCs w:val="20"/>
          <w:lang w:eastAsia="zh-CN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751"/>
        <w:numPr>
          <w:ilvl w:val="0"/>
          <w:numId w:val="12"/>
        </w:numPr>
        <w:ind w:left="142" w:hanging="142"/>
        <w:jc w:val="both"/>
        <w:spacing w:before="0" w:beforeAutospacing="0" w:after="0" w:afterAutospacing="0" w:line="240" w:lineRule="auto"/>
        <w:rPr>
          <w:sz w:val="20"/>
          <w:szCs w:val="20"/>
        </w:rPr>
      </w:pPr>
      <w:r>
        <w:rPr>
          <w:sz w:val="20"/>
          <w:szCs w:val="20"/>
          <w:lang w:eastAsia="zh-CN"/>
        </w:rPr>
        <w:t xml:space="preserve">Заявитель обязуется: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751"/>
        <w:numPr>
          <w:ilvl w:val="1"/>
          <w:numId w:val="12"/>
        </w:numPr>
        <w:ind w:left="142" w:hanging="142"/>
        <w:jc w:val="both"/>
        <w:spacing w:before="0" w:beforeAutospacing="0" w:after="0" w:afterAutospacing="0" w:line="240" w:lineRule="auto"/>
        <w:rPr>
          <w:sz w:val="20"/>
          <w:szCs w:val="20"/>
        </w:rPr>
      </w:pPr>
      <w:r>
        <w:rPr>
          <w:sz w:val="20"/>
          <w:szCs w:val="20"/>
          <w:lang w:eastAsia="zh-CN"/>
        </w:rPr>
        <w:t xml:space="preserve">Соблюдать условия и порядок проведения аукциона в электронной форме, содержащиеся в Извещении о проведении аукциона в электронной форме и Регламенте Оператора электронной площадки.</w:t>
      </w:r>
      <w:r>
        <w:rPr>
          <w:rStyle w:val="788"/>
          <w:sz w:val="20"/>
          <w:szCs w:val="20"/>
          <w:vertAlign w:val="superscript"/>
          <w:lang w:eastAsia="zh-CN"/>
        </w:rPr>
        <w:footnoteReference w:id="4"/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751"/>
        <w:numPr>
          <w:ilvl w:val="1"/>
          <w:numId w:val="12"/>
        </w:numPr>
        <w:ind w:left="142" w:hanging="142"/>
        <w:jc w:val="both"/>
        <w:spacing w:before="0" w:beforeAutospacing="0" w:after="0" w:afterAutospacing="0" w:line="240" w:lineRule="auto"/>
        <w:rPr>
          <w:sz w:val="20"/>
          <w:szCs w:val="20"/>
        </w:rPr>
      </w:pPr>
      <w:r>
        <w:rPr>
          <w:sz w:val="20"/>
          <w:szCs w:val="20"/>
          <w:lang w:eastAsia="zh-CN"/>
        </w:rPr>
        <w:t xml:space="preserve">В случае признания Победителем аукциона в электронной форме, а также в иных случаях, предусмо</w:t>
      </w:r>
      <w:r>
        <w:rPr>
          <w:sz w:val="20"/>
          <w:szCs w:val="20"/>
          <w:lang w:eastAsia="zh-CN"/>
        </w:rPr>
        <w:t xml:space="preserve">тренных пунктами 13 и 14 статьи 39.12 Земельного кодекса Российской Федерации, заключить договор с Арендодателем (Продавцом) в соответствии с порядком, сроками и требованиями, установленными Извещением о проведении аукциона в электронной форме и договором.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751"/>
        <w:numPr>
          <w:ilvl w:val="0"/>
          <w:numId w:val="12"/>
        </w:numPr>
        <w:ind w:left="142" w:hanging="142"/>
        <w:jc w:val="both"/>
        <w:spacing w:before="0" w:beforeAutospacing="0" w:after="0" w:afterAutospacing="0" w:line="240" w:lineRule="auto"/>
        <w:rPr>
          <w:sz w:val="20"/>
          <w:szCs w:val="20"/>
        </w:rPr>
      </w:pPr>
      <w:r>
        <w:rPr>
          <w:sz w:val="20"/>
          <w:szCs w:val="20"/>
          <w:lang w:eastAsia="zh-CN"/>
        </w:rPr>
        <w:t xml:space="preserve">Заявитель согласен и принимает все условия, требования, положения Извещени</w:t>
      </w:r>
      <w:r>
        <w:rPr>
          <w:sz w:val="20"/>
          <w:szCs w:val="20"/>
          <w:lang w:eastAsia="zh-CN"/>
        </w:rPr>
        <w:t xml:space="preserve">я о проведении аукциона в электронной форме, проекта договора и Регламента Оператора электронной площадки, и они ему понятны. Заявителю известны сведения о Земельном участке, Заявитель надлежащим образом ознакомлен с реальным состоянием Земельного участка </w:t>
      </w:r>
      <w:r>
        <w:rPr>
          <w:b/>
          <w:sz w:val="20"/>
          <w:szCs w:val="20"/>
          <w:lang w:eastAsia="zh-CN"/>
        </w:rPr>
        <w:t xml:space="preserve">и не имеет претензий к ним</w:t>
      </w:r>
      <w:r>
        <w:rPr>
          <w:sz w:val="20"/>
          <w:szCs w:val="20"/>
          <w:lang w:eastAsia="zh-CN"/>
        </w:rPr>
        <w:t xml:space="preserve">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751"/>
        <w:numPr>
          <w:ilvl w:val="0"/>
          <w:numId w:val="12"/>
        </w:numPr>
        <w:ind w:left="142" w:hanging="142"/>
        <w:jc w:val="both"/>
        <w:spacing w:before="0" w:beforeAutospacing="0" w:after="0" w:afterAutospacing="0" w:line="240" w:lineRule="auto"/>
        <w:rPr>
          <w:sz w:val="20"/>
          <w:szCs w:val="20"/>
        </w:rPr>
      </w:pPr>
      <w:r>
        <w:rPr>
          <w:sz w:val="20"/>
          <w:szCs w:val="20"/>
          <w:lang w:eastAsia="zh-CN"/>
        </w:rPr>
        <w:t xml:space="preserve">Заявитель извещен о том, что он вправе отозвать Заявку в любое время до установленных даты и времени окончания срока приема Заявок на участие в аукционе в электронной форме, в порядке, установленном в Извещении о проведении аукциона в электронной форме.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751"/>
        <w:numPr>
          <w:ilvl w:val="0"/>
          <w:numId w:val="12"/>
        </w:numPr>
        <w:ind w:left="142" w:hanging="142"/>
        <w:jc w:val="both"/>
        <w:spacing w:before="0" w:beforeAutospacing="0" w:after="0" w:afterAutospacing="0" w:line="240" w:lineRule="auto"/>
        <w:tabs>
          <w:tab w:val="left" w:pos="142" w:leader="none"/>
          <w:tab w:val="clear" w:pos="708" w:leader="none"/>
        </w:tabs>
        <w:rPr>
          <w:sz w:val="20"/>
          <w:szCs w:val="20"/>
        </w:rPr>
      </w:pPr>
      <w:r>
        <w:rPr>
          <w:sz w:val="20"/>
          <w:szCs w:val="20"/>
          <w:lang w:eastAsia="zh-CN"/>
        </w:rPr>
        <w:t xml:space="preserve">Ответственность за достоверность представленных документов и информации несет Заявитель. 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751"/>
        <w:numPr>
          <w:ilvl w:val="0"/>
          <w:numId w:val="12"/>
        </w:numPr>
        <w:ind w:left="142" w:hanging="142"/>
        <w:jc w:val="both"/>
        <w:spacing w:before="0" w:beforeAutospacing="0" w:after="0" w:afterAutospacing="0" w:line="240" w:lineRule="auto"/>
        <w:tabs>
          <w:tab w:val="left" w:pos="142" w:leader="none"/>
          <w:tab w:val="clear" w:pos="708" w:leader="none"/>
        </w:tabs>
        <w:rPr>
          <w:sz w:val="20"/>
          <w:szCs w:val="20"/>
        </w:rPr>
      </w:pPr>
      <w:r>
        <w:rPr>
          <w:sz w:val="20"/>
          <w:szCs w:val="20"/>
          <w:lang w:eastAsia="zh-CN"/>
        </w:rPr>
        <w:t xml:space="preserve">Заявитель подтверждает, что на дату подписания настоящей Заявки ознакомлен с порядком проведения аукциона в электронной форме, порядком внесения, блокирования и прекращения блокирования денежных средств в качестве задатка, и они ему понятны.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751"/>
        <w:numPr>
          <w:ilvl w:val="0"/>
          <w:numId w:val="12"/>
        </w:numPr>
        <w:ind w:left="142" w:hanging="142"/>
        <w:jc w:val="both"/>
        <w:spacing w:before="0" w:beforeAutospacing="0" w:after="0" w:afterAutospacing="0" w:line="240" w:lineRule="auto"/>
        <w:tabs>
          <w:tab w:val="left" w:pos="142" w:leader="none"/>
          <w:tab w:val="clear" w:pos="708" w:leader="none"/>
        </w:tabs>
        <w:rPr>
          <w:sz w:val="20"/>
          <w:szCs w:val="20"/>
        </w:rPr>
      </w:pPr>
      <w:r>
        <w:rPr>
          <w:sz w:val="20"/>
          <w:szCs w:val="20"/>
          <w:lang w:eastAsia="zh-CN"/>
        </w:rPr>
        <w:t xml:space="preserve">Заявитель заявляет о своем соответствии условиям отнесения к субъектам малого и среднего предпринимательства в соответствии с частью 5 статьи 4</w:t>
      </w:r>
      <w:r>
        <w:rPr>
          <w:sz w:val="20"/>
          <w:szCs w:val="20"/>
          <w:lang w:eastAsia="zh-CN"/>
        </w:rPr>
        <w:t xml:space="preserve"> Федерального закона от 24.07.2007 № 209-ФЗ «О развитии малого и среднего предпринимательства в Российской Федерации» (в случае проведения аукциона в электронной форме, участниками которого могут быть только субъекты малого и среднего предпринимательства) </w:t>
      </w:r>
      <w:r>
        <w:rPr>
          <w:rStyle w:val="788"/>
          <w:sz w:val="20"/>
          <w:szCs w:val="20"/>
          <w:vertAlign w:val="superscript"/>
          <w:lang w:eastAsia="zh-CN"/>
        </w:rPr>
        <w:footnoteReference w:id="5"/>
      </w:r>
      <w:r>
        <w:rPr>
          <w:sz w:val="20"/>
          <w:szCs w:val="20"/>
          <w:lang w:eastAsia="zh-CN"/>
        </w:rPr>
        <w:t xml:space="preserve">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751"/>
        <w:numPr>
          <w:ilvl w:val="0"/>
          <w:numId w:val="12"/>
        </w:numPr>
        <w:ind w:left="142" w:hanging="142"/>
        <w:jc w:val="both"/>
        <w:spacing w:before="0" w:beforeAutospacing="0" w:after="0" w:afterAutospacing="0" w:line="240" w:lineRule="auto"/>
        <w:tabs>
          <w:tab w:val="left" w:pos="142" w:leader="none"/>
          <w:tab w:val="clear" w:pos="708" w:leader="none"/>
        </w:tabs>
        <w:rPr>
          <w:sz w:val="20"/>
          <w:szCs w:val="20"/>
        </w:rPr>
      </w:pPr>
      <w:r>
        <w:rPr>
          <w:sz w:val="20"/>
          <w:szCs w:val="20"/>
          <w:lang w:eastAsia="zh-CN"/>
        </w:rPr>
        <w:t xml:space="preserve">Заявитель осведомлен и согласен с тем, что Арендодатель (Прод</w:t>
      </w:r>
      <w:r>
        <w:rPr>
          <w:sz w:val="20"/>
          <w:szCs w:val="20"/>
          <w:lang w:eastAsia="zh-CN"/>
        </w:rPr>
        <w:t xml:space="preserve">авец)/Организатор аукциона в электронной форме не несут ответственности за ущерб, который может быть причинен Заявителю отменой аукциона в электронной форме, внесением изменений в Извещение о проведении аукциона в электронной форме, а также приостановление</w:t>
      </w:r>
      <w:r>
        <w:rPr>
          <w:sz w:val="20"/>
          <w:szCs w:val="20"/>
          <w:lang w:eastAsia="zh-CN"/>
        </w:rPr>
        <w:t xml:space="preserve">м процедуры проведения аукциона в электронной форме. При этом Заявитель считается уведомленным об отмене аукциона в электронной форме, внесении изменений в Извещение о проведении аукциона в электронной форме с даты публикации информации об отмене аукциона </w:t>
      </w:r>
      <w:r>
        <w:rPr>
          <w:sz w:val="20"/>
          <w:szCs w:val="20"/>
          <w:lang w:eastAsia="zh-CN"/>
        </w:rPr>
        <w:t xml:space="preserve">в электронной форме, внесении изменений в Извещение о проведении аукциона в электронной форме на официальном сайте торгов Российской Федерации в информационно-телекоммуникационной сети «Интернет» для размещения информации о проведении торгов www.torgi.gov.</w:t>
      </w:r>
      <w:r>
        <w:rPr>
          <w:color w:val="000000"/>
          <w:sz w:val="20"/>
          <w:szCs w:val="20"/>
          <w:lang w:eastAsia="zh-CN"/>
        </w:rPr>
        <w:t xml:space="preserve">ruи сайте Оператора электронной площадки</w:t>
      </w:r>
      <w:r>
        <w:rPr>
          <w:sz w:val="20"/>
          <w:szCs w:val="20"/>
          <w:lang w:eastAsia="zh-CN"/>
        </w:rPr>
        <w:t xml:space="preserve">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751"/>
        <w:ind w:left="142" w:hanging="142"/>
        <w:jc w:val="both"/>
        <w:spacing w:before="0" w:beforeAutospacing="0" w:after="0" w:afterAutospacing="0" w:line="240" w:lineRule="auto"/>
        <w:rPr>
          <w:sz w:val="20"/>
          <w:szCs w:val="20"/>
        </w:rPr>
      </w:pPr>
      <w:r>
        <w:rPr>
          <w:sz w:val="20"/>
          <w:szCs w:val="20"/>
          <w:lang w:eastAsia="zh-CN"/>
        </w:rPr>
        <w:t xml:space="preserve">8.В соответствии с Ф</w:t>
      </w:r>
      <w:r>
        <w:rPr>
          <w:sz w:val="20"/>
          <w:szCs w:val="20"/>
          <w:lang w:eastAsia="zh-CN"/>
        </w:rPr>
        <w:t xml:space="preserve">едеральным законом от 27.07.2006 № 152-ФЗ «О персональных данных» (далее - Федеральный закон от 27.07.2006 № 152-ФЗ), подавая Заявку, Заявитель дает согласие на обработку персональных данных, указанных выше и содержащихся в представленных документах, в цел</w:t>
      </w:r>
      <w:r>
        <w:rPr>
          <w:sz w:val="20"/>
          <w:szCs w:val="20"/>
          <w:lang w:eastAsia="zh-CN"/>
        </w:rPr>
        <w:t xml:space="preserve">ях участия в аукционе (под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использование, обезличивание, блокирование, уничтожение персона</w:t>
      </w:r>
      <w:r>
        <w:rPr>
          <w:sz w:val="20"/>
          <w:szCs w:val="20"/>
          <w:lang w:eastAsia="zh-CN"/>
        </w:rPr>
        <w:t xml:space="preserve">льных данных, описание способов обработки данных приведено в Федеральном законе от 27.07.2006 № 152-ФЗ), а также на передачу такой информации третьим лицам, в случаях, установленных нормативными документами вышестоящих органов и законодательством. Настояще</w:t>
      </w:r>
      <w:r>
        <w:rPr>
          <w:sz w:val="20"/>
          <w:szCs w:val="20"/>
          <w:lang w:eastAsia="zh-CN"/>
        </w:rPr>
        <w:t xml:space="preserve">е согласие действует бессрочно и может быть отозвано в любой момент по соглашению сторон. Заявитель подтверждает, что ознакомлен с положениями Федерального закона от 27.07.2006 №152-ФЗ, права и обязанности в области защиты персональных данных ему известны.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751"/>
        <w:spacing w:before="0" w:beforeAutospacing="0" w:after="0" w:afterAutospacing="0" w:line="240" w:lineRule="auto"/>
        <w:rPr>
          <w:sz w:val="20"/>
          <w:szCs w:val="20"/>
        </w:rPr>
      </w:pPr>
      <w:r>
        <w:rPr>
          <w:sz w:val="20"/>
          <w:szCs w:val="20"/>
          <w:lang w:eastAsia="zh-CN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751"/>
        <w:spacing w:before="0" w:beforeAutospacing="0" w:after="0" w:afterAutospacing="0" w:line="240" w:lineRule="auto"/>
        <w:rPr>
          <w:sz w:val="20"/>
          <w:szCs w:val="20"/>
        </w:rPr>
      </w:pPr>
      <w:r>
        <w:rPr>
          <w:sz w:val="20"/>
          <w:szCs w:val="20"/>
          <w:lang w:eastAsia="zh-CN"/>
        </w:rPr>
        <w:t xml:space="preserve">Подписано усиленной квалифицированной электронной подписью</w:t>
      </w:r>
      <w:r>
        <w:rPr>
          <w:sz w:val="20"/>
          <w:szCs w:val="20"/>
        </w:rPr>
      </w:r>
      <w:r>
        <w:rPr>
          <w:sz w:val="20"/>
          <w:szCs w:val="20"/>
        </w:rPr>
      </w:r>
    </w:p>
    <w:tbl>
      <w:tblPr>
        <w:tblStyle w:val="951"/>
        <w:tblW w:w="5000" w:type="pct"/>
        <w:tblInd w:w="0" w:type="dxa"/>
        <w:tblLayout w:type="fixed"/>
        <w:tblCellMar>
          <w:left w:w="85" w:type="dxa"/>
          <w:top w:w="28" w:type="dxa"/>
          <w:right w:w="85" w:type="dxa"/>
          <w:bottom w:w="28" w:type="dxa"/>
        </w:tblCellMar>
        <w:tblLook w:val="04A0" w:firstRow="1" w:lastRow="0" w:firstColumn="1" w:lastColumn="0" w:noHBand="0" w:noVBand="1"/>
      </w:tblPr>
      <w:tblGrid>
        <w:gridCol w:w="9498"/>
      </w:tblGrid>
      <w:tr>
        <w:tblPrEx/>
        <w:trPr>
          <w:trHeight w:val="262"/>
        </w:trPr>
        <w:tc>
          <w:tcPr>
            <w:tcBorders>
              <w:bottom w:val="none" w:color="000000" w:sz="4" w:space="0"/>
            </w:tcBorders>
            <w:tcW w:w="9498" w:type="dxa"/>
            <w:textDirection w:val="lrTb"/>
            <w:noWrap w:val="false"/>
          </w:tcPr>
          <w:p>
            <w:pPr>
              <w:pStyle w:val="751"/>
              <w:jc w:val="left"/>
              <w:spacing w:before="0" w:beforeAutospacing="0" w:after="0" w:afterAutospacing="0" w:line="240" w:lineRule="auto"/>
              <w:widowControl/>
              <w:rPr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ru-RU" w:eastAsia="zh-CN" w:bidi="ar-SA"/>
              </w:rPr>
              <w:t xml:space="preserve">Данные электронной подписи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>
          <w:trHeight w:val="171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9498" w:type="dxa"/>
            <w:textDirection w:val="lrTb"/>
            <w:noWrap w:val="false"/>
          </w:tcPr>
          <w:p>
            <w:pPr>
              <w:pStyle w:val="751"/>
              <w:jc w:val="left"/>
              <w:spacing w:before="0" w:beforeAutospacing="0" w:after="0" w:afterAutospacing="0" w:line="240" w:lineRule="auto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 w:eastAsia="zh-CN" w:bidi="ar-SA"/>
              </w:rPr>
              <w:t xml:space="preserve">Владелец: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181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9498" w:type="dxa"/>
            <w:textDirection w:val="lrTb"/>
            <w:noWrap w:val="false"/>
          </w:tcPr>
          <w:p>
            <w:pPr>
              <w:pStyle w:val="751"/>
              <w:jc w:val="left"/>
              <w:spacing w:before="0" w:beforeAutospacing="0" w:after="0" w:afterAutospacing="0" w:line="240" w:lineRule="auto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 w:eastAsia="zh-CN" w:bidi="ar-SA"/>
              </w:rPr>
              <w:t xml:space="preserve">Организация: </w:t>
            </w: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  <w:lang w:val="ru-RU" w:eastAsia="zh-CN" w:bidi="ar-SA"/>
              </w:rPr>
              <w:instrText xml:space="preserve">Документ_ЭлПодпись_Организация_Участник</w:instrText>
            </w:r>
            <w:r>
              <w:rPr>
                <w:sz w:val="20"/>
                <w:szCs w:val="20"/>
                <w:lang w:val="ru-RU" w:eastAsia="zh-CN" w:bidi="ar-SA"/>
              </w:rPr>
              <w:fldChar w:fldCharType="separate"/>
            </w:r>
            <w:r>
              <w:rPr>
                <w:b/>
                <w:bCs/>
                <w:sz w:val="20"/>
                <w:szCs w:val="20"/>
                <w:lang w:val="ru-RU" w:eastAsia="zh-CN" w:bidi="ar-SA"/>
              </w:rPr>
              <w:t xml:space="preserve">.</w:t>
            </w:r>
            <w:r>
              <w:rPr>
                <w:sz w:val="20"/>
                <w:szCs w:val="20"/>
                <w:lang w:val="ru-RU" w:eastAsia="zh-CN" w:bidi="ar-SA"/>
              </w:rPr>
              <w:fldChar w:fldCharType="end"/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181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9498" w:type="dxa"/>
            <w:textDirection w:val="lrTb"/>
            <w:noWrap w:val="false"/>
          </w:tcPr>
          <w:p>
            <w:pPr>
              <w:pStyle w:val="751"/>
              <w:jc w:val="left"/>
              <w:spacing w:before="0" w:beforeAutospacing="0" w:after="0" w:afterAutospacing="0" w:line="240" w:lineRule="auto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 w:eastAsia="zh-CN" w:bidi="ar-SA"/>
              </w:rPr>
              <w:t xml:space="preserve">Подписано: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171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9498" w:type="dxa"/>
            <w:textDirection w:val="lrTb"/>
            <w:noWrap w:val="false"/>
          </w:tcPr>
          <w:p>
            <w:pPr>
              <w:pStyle w:val="751"/>
              <w:jc w:val="left"/>
              <w:spacing w:before="0" w:beforeAutospacing="0" w:after="0" w:afterAutospacing="0" w:line="240" w:lineRule="auto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 w:eastAsia="zh-CN" w:bidi="ar-SA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181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9498" w:type="dxa"/>
            <w:textDirection w:val="lrTb"/>
            <w:noWrap w:val="false"/>
          </w:tcPr>
          <w:p>
            <w:pPr>
              <w:pStyle w:val="751"/>
              <w:jc w:val="left"/>
              <w:spacing w:before="0" w:beforeAutospacing="0" w:after="0" w:afterAutospacing="0" w:line="240" w:lineRule="auto"/>
              <w:widowControl/>
              <w:rPr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ru-RU" w:eastAsia="zh-CN" w:bidi="ar-SA"/>
              </w:rPr>
              <w:t xml:space="preserve">Данные сертификата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>
          <w:trHeight w:val="171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9498" w:type="dxa"/>
            <w:textDirection w:val="lrTb"/>
            <w:noWrap w:val="false"/>
          </w:tcPr>
          <w:p>
            <w:pPr>
              <w:pStyle w:val="751"/>
              <w:jc w:val="left"/>
              <w:spacing w:before="0" w:beforeAutospacing="0" w:after="0" w:afterAutospacing="0" w:line="240" w:lineRule="auto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 w:eastAsia="zh-CN" w:bidi="ar-SA"/>
              </w:rPr>
              <w:t xml:space="preserve">Серийный номер: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181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9498" w:type="dxa"/>
            <w:textDirection w:val="lrTb"/>
            <w:noWrap w:val="false"/>
          </w:tcPr>
          <w:p>
            <w:pPr>
              <w:pStyle w:val="751"/>
              <w:jc w:val="left"/>
              <w:spacing w:before="0" w:beforeAutospacing="0" w:after="0" w:afterAutospacing="0" w:line="240" w:lineRule="auto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 w:eastAsia="zh-CN" w:bidi="ar-SA"/>
              </w:rPr>
              <w:t xml:space="preserve">Срок действия: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181"/>
        </w:trPr>
        <w:tc>
          <w:tcPr>
            <w:tcBorders>
              <w:top w:val="none" w:color="000000" w:sz="4" w:space="0"/>
            </w:tcBorders>
            <w:tcW w:w="9498" w:type="dxa"/>
            <w:textDirection w:val="lrTb"/>
            <w:noWrap w:val="false"/>
          </w:tcPr>
          <w:p>
            <w:pPr>
              <w:pStyle w:val="751"/>
              <w:jc w:val="left"/>
              <w:spacing w:before="0" w:beforeAutospacing="0" w:after="0" w:afterAutospacing="0" w:line="240" w:lineRule="auto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 w:eastAsia="zh-CN" w:bidi="ar-SA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</w:tbl>
    <w:p>
      <w:pPr>
        <w:pStyle w:val="751"/>
        <w:ind w:left="7655" w:firstLine="0"/>
        <w:jc w:val="both"/>
        <w:spacing w:before="0" w:beforeAutospacing="0" w:after="0" w:afterAutospacing="0" w:line="240" w:lineRule="auto"/>
        <w:widowControl w:val="off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751"/>
        <w:spacing w:before="0" w:beforeAutospacing="0" w:after="0" w:afterAutospacing="0" w:line="240" w:lineRule="auto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  <w:br w:type="page" w:clear="all"/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751"/>
        <w:ind w:left="7655" w:firstLine="0"/>
        <w:jc w:val="both"/>
        <w:spacing w:before="0" w:beforeAutospacing="0" w:after="0" w:afterAutospacing="0" w:line="240" w:lineRule="auto"/>
        <w:widowControl w:val="off"/>
        <w:rPr>
          <w:sz w:val="20"/>
          <w:szCs w:val="20"/>
        </w:rPr>
      </w:pPr>
      <w:r>
        <w:rPr>
          <w:sz w:val="20"/>
          <w:szCs w:val="20"/>
        </w:rPr>
        <w:t xml:space="preserve">П</w:t>
      </w:r>
      <w:r>
        <w:rPr>
          <w:sz w:val="20"/>
          <w:szCs w:val="20"/>
        </w:rPr>
        <w:t xml:space="preserve">Приложение 2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751"/>
        <w:ind w:firstLine="851"/>
        <w:jc w:val="center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ДОГОВОР АРЕНДЫ ЗЕМЕЛЬНОГО УЧАСТКА №._______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751"/>
        <w:ind w:firstLine="851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751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</w:t>
      </w:r>
      <w:r>
        <w:rPr>
          <w:rFonts w:ascii="Times New Roman" w:hAnsi="Times New Roman" w:cs="Times New Roman"/>
          <w:sz w:val="20"/>
          <w:szCs w:val="20"/>
        </w:rPr>
        <w:t xml:space="preserve">город Кострома                                                                                                                 «___» _________ 20__ года 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751"/>
        <w:ind w:firstLine="720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751"/>
        <w:ind w:firstLine="851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Управление имущественных и земельных отношений Администрации города Костромы</w:t>
      </w:r>
      <w:r>
        <w:rPr>
          <w:rFonts w:ascii="Times New Roman" w:hAnsi="Times New Roman" w:cs="Times New Roman"/>
          <w:sz w:val="20"/>
          <w:szCs w:val="20"/>
        </w:rPr>
        <w:t xml:space="preserve">, в лице _____________________________________, действующего на основании П</w:t>
      </w:r>
      <w:r>
        <w:rPr>
          <w:rFonts w:ascii="Times New Roman" w:hAnsi="Times New Roman" w:cs="Times New Roman"/>
          <w:sz w:val="20"/>
          <w:szCs w:val="20"/>
        </w:rPr>
        <w:t xml:space="preserve">оложения об Управлении, утвержденного постановлением Администрации города Костромы от 23 марта 2015 года № 604 и кадрового распоряжения Администрации города Костромы от ___________________________, именуемое в дальнейшем «Арендодатель», с одной стороны, и </w:t>
      </w:r>
      <w:r>
        <w:rPr>
          <w:rFonts w:ascii="Times New Roman" w:hAnsi="Times New Roman" w:cs="Times New Roman"/>
          <w:b/>
          <w:sz w:val="20"/>
          <w:szCs w:val="20"/>
        </w:rPr>
        <w:t xml:space="preserve">______________________________________</w:t>
      </w:r>
      <w:r>
        <w:rPr>
          <w:rFonts w:ascii="Times New Roman" w:hAnsi="Times New Roman" w:cs="Times New Roman"/>
          <w:sz w:val="20"/>
          <w:szCs w:val="20"/>
        </w:rPr>
        <w:t xml:space="preserve">, в лице ____________________________, действующего на </w:t>
      </w:r>
      <w:r>
        <w:rPr>
          <w:rFonts w:ascii="Times New Roman" w:hAnsi="Times New Roman" w:cs="Times New Roman"/>
          <w:sz w:val="20"/>
          <w:szCs w:val="20"/>
        </w:rPr>
        <w:t xml:space="preserve">основании __________, именуемое в дальнейшем «Арендатор», совместно именуемые «Стороны», в соответствии со статьями 39.1, 39.6, 39.7, 39.8, 39.12, 39.13 Земельного кодекса Российской Федерации, заключили настоящий договор (далее – Договор) о нижеследующем: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751"/>
        <w:jc w:val="center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1. Предмет договора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751"/>
        <w:numPr>
          <w:ilvl w:val="1"/>
          <w:numId w:val="14"/>
        </w:numPr>
        <w:ind w:left="0" w:firstLine="709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Арендода</w:t>
      </w:r>
      <w:r>
        <w:rPr>
          <w:rFonts w:ascii="Times New Roman" w:hAnsi="Times New Roman" w:cs="Times New Roman"/>
          <w:sz w:val="20"/>
          <w:szCs w:val="20"/>
        </w:rPr>
        <w:t xml:space="preserve">тель обязуется предоставить Арендатору в аренду для строительства земельный участок из земель населенных пунктов, государственная собственность на которые не разграничена, с кадастровым номером ___________________ по адресу: Российская Федерация, Костромск</w:t>
      </w:r>
      <w:r>
        <w:rPr>
          <w:rFonts w:ascii="Times New Roman" w:hAnsi="Times New Roman" w:cs="Times New Roman"/>
          <w:sz w:val="20"/>
          <w:szCs w:val="20"/>
        </w:rPr>
        <w:t xml:space="preserve">ая область, город Кострома, ________________ (далее – Участок), вид разрешенного использования: ___________________, в границах, указанных в кадастровом паспорте Участка (дата и номер кадастрового паспорта), общей площадью __________ квадратных метра (ов).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751"/>
        <w:numPr>
          <w:ilvl w:val="1"/>
          <w:numId w:val="14"/>
        </w:numPr>
        <w:ind w:left="0" w:firstLine="709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Участок имеет следующие ограничения (обременения):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751"/>
        <w:ind w:firstLine="709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751"/>
        <w:ind w:firstLine="709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751"/>
        <w:ind w:firstLine="709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1.3. Внесение изменений в Договор в части изменения вида разрешенного использования земельного участка не допускается.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751"/>
        <w:jc w:val="center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2. Срок Договора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751"/>
        <w:numPr>
          <w:ilvl w:val="1"/>
          <w:numId w:val="15"/>
        </w:numPr>
        <w:ind w:left="0" w:firstLine="851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Договор заключен сроком на ______ с даты его подписания Сторонами. 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751"/>
        <w:numPr>
          <w:ilvl w:val="1"/>
          <w:numId w:val="15"/>
        </w:numPr>
        <w:ind w:left="0" w:firstLine="851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Договор, заключенный на срок один год и более, подлежит государственной регистрации в Управлении Федеральной службы государственной регистрации, кадастра и картографии по Костромской области.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751"/>
        <w:numPr>
          <w:ilvl w:val="1"/>
          <w:numId w:val="15"/>
        </w:numPr>
        <w:ind w:left="0" w:firstLine="851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Арендатор земельного участка не имеет преимущественного права на заключения на новый срок договора аренды такого земельного участка без проведения торгов.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751"/>
        <w:jc w:val="center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3. Размер и условия внесения арендной платы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751"/>
        <w:numPr>
          <w:ilvl w:val="1"/>
          <w:numId w:val="16"/>
        </w:numPr>
        <w:ind w:left="0" w:right="-5" w:firstLine="851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За аренду земельного участка, указанного в пункте 1.1. Договора начисляется ежегодная арендная плата в сумме ______________ рублей.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numPr>
          <w:ilvl w:val="1"/>
          <w:numId w:val="16"/>
        </w:numPr>
        <w:ind w:left="0" w:firstLine="851"/>
        <w:jc w:val="both"/>
        <w:spacing w:before="0" w:beforeAutospacing="0" w:after="0" w:afterAutospacing="0" w:line="240" w:lineRule="auto"/>
        <w:widowControl w:val="off"/>
        <w:tabs>
          <w:tab w:val="clear" w:pos="0" w:leader="none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Арендатор перечисляет Арендодателю на расчетный сче</w:t>
      </w:r>
      <w:r>
        <w:rPr>
          <w:rFonts w:ascii="Times New Roman" w:hAnsi="Times New Roman" w:cs="Times New Roman"/>
          <w:sz w:val="20"/>
          <w:szCs w:val="20"/>
        </w:rPr>
        <w:t xml:space="preserve">т </w:t>
      </w:r>
      <w:r>
        <w:rPr>
          <w:rFonts w:ascii="Times New Roman" w:hAnsi="Times New Roman" w:cs="Times New Roman"/>
          <w:sz w:val="20"/>
          <w:szCs w:val="20"/>
          <w:lang w:eastAsia="ru-RU"/>
        </w:rPr>
        <w:t xml:space="preserve">Управления Федерального казначейства по Костромской области (Управление имущественных и земельных отношений</w:t>
      </w:r>
      <w:r>
        <w:rPr>
          <w:rFonts w:ascii="Times New Roman" w:hAnsi="Times New Roman" w:cs="Times New Roman"/>
          <w:sz w:val="20"/>
          <w:szCs w:val="20"/>
          <w:lang w:eastAsia="ru-RU"/>
        </w:rPr>
        <w:t xml:space="preserve"> Администрации города Костромы),</w:t>
      </w:r>
      <w:r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eastAsia="ru-RU"/>
        </w:rPr>
        <w:t xml:space="preserve">ИНН 4401006568, КПП 440101001, единый казначейский счет 40102810945370000034</w:t>
      </w:r>
      <w:r>
        <w:rPr>
          <w:rFonts w:ascii="Times New Roman" w:hAnsi="Times New Roman" w:cs="Times New Roman"/>
          <w:sz w:val="20"/>
          <w:szCs w:val="20"/>
          <w:lang w:eastAsia="ru-RU"/>
        </w:rPr>
        <w:t xml:space="preserve">, </w:t>
      </w:r>
      <w:r>
        <w:rPr>
          <w:rFonts w:ascii="Times New Roman" w:hAnsi="Times New Roman" w:cs="Times New Roman"/>
          <w:sz w:val="20"/>
          <w:szCs w:val="20"/>
          <w:lang w:eastAsia="ru-RU"/>
        </w:rPr>
        <w:t xml:space="preserve">казначейский счет 03100643000000014100, </w:t>
      </w:r>
      <w:r>
        <w:rPr>
          <w:rFonts w:ascii="Times New Roman" w:hAnsi="Times New Roman" w:cs="Times New Roman"/>
          <w:sz w:val="20"/>
          <w:szCs w:val="20"/>
          <w:lang w:eastAsia="ru-RU"/>
        </w:rPr>
        <w:t xml:space="preserve">б</w:t>
      </w:r>
      <w:r>
        <w:rPr>
          <w:rFonts w:ascii="Times New Roman" w:hAnsi="Times New Roman" w:cs="Times New Roman"/>
          <w:sz w:val="20"/>
          <w:szCs w:val="20"/>
          <w:lang w:eastAsia="ru-RU"/>
        </w:rPr>
        <w:t xml:space="preserve">анк получателя ОТДЕЛЕНИЕ КОСТРОМА БАНКА РОССИИ//УФК ПО КОСТРОМСКОЙ ОБЛАСТИ г. Кострома, БИК 013469126, КБК 96611105012040000120, ОКТМО 34701000</w:t>
      </w:r>
      <w:r>
        <w:rPr>
          <w:rFonts w:ascii="Times New Roman" w:hAnsi="Times New Roman" w:cs="Times New Roman"/>
          <w:sz w:val="20"/>
          <w:szCs w:val="20"/>
        </w:rPr>
        <w:t xml:space="preserve">,</w:t>
      </w:r>
      <w:r>
        <w:rPr>
          <w:rFonts w:ascii="Times New Roman" w:hAnsi="Times New Roman" w:cs="Times New Roman"/>
          <w:sz w:val="20"/>
          <w:szCs w:val="20"/>
        </w:rPr>
        <w:t xml:space="preserve"> «За аренду земельного участка по адресу: ____________________</w:t>
      </w:r>
      <w:r>
        <w:rPr>
          <w:rFonts w:ascii="Times New Roman" w:hAnsi="Times New Roman" w:cs="Times New Roman"/>
          <w:sz w:val="20"/>
          <w:szCs w:val="20"/>
        </w:rPr>
        <w:t xml:space="preserve">_____________, договор № ______________________», арендную плату за за первый год аренды земельного участка, указанного в пункте 1.1 Договора, в сумме ______________________ (с учетом задатка) в течение 10 дней с даты подписания настоящего Д</w:t>
      </w:r>
      <w:r>
        <w:rPr>
          <w:rFonts w:ascii="Times New Roman" w:hAnsi="Times New Roman" w:cs="Times New Roman"/>
          <w:sz w:val="20"/>
          <w:szCs w:val="20"/>
        </w:rPr>
        <w:t xml:space="preserve">оговора. Днем оплаты арендной платы, указанной в Договоре, считается день зачисления денежных средств на расчетный счет Арендодателя. Перечисленный Арендодателю задаток за участие в аукционе на право заключения договора аренды земельного участка в размере </w:t>
      </w:r>
      <w:r>
        <w:rPr>
          <w:rFonts w:ascii="Times New Roman" w:hAnsi="Times New Roman" w:cs="Times New Roman"/>
          <w:b/>
          <w:sz w:val="20"/>
          <w:szCs w:val="20"/>
        </w:rPr>
        <w:t xml:space="preserve">__________________________</w:t>
      </w:r>
      <w:r>
        <w:rPr>
          <w:rFonts w:ascii="Times New Roman" w:hAnsi="Times New Roman" w:cs="Times New Roman"/>
          <w:sz w:val="20"/>
          <w:szCs w:val="20"/>
        </w:rPr>
        <w:t xml:space="preserve"> зачисляется в счет арендной платы за земельный участок по настоящему Договору.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751"/>
        <w:numPr>
          <w:ilvl w:val="1"/>
          <w:numId w:val="16"/>
        </w:numPr>
        <w:ind w:left="0" w:firstLine="851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Сроки внесения арендной платы: до окончания срока аренды ежегодно в сумме _____________ рублей не позднее __________.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751"/>
        <w:numPr>
          <w:ilvl w:val="1"/>
          <w:numId w:val="16"/>
        </w:numPr>
        <w:ind w:left="0" w:firstLine="851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Размер арендной платы устанавливается на основании протокола о результатах торгов. В сумму первого платежа по Договору включается сумма задатка, уплаченная Покупателем по заявке.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751"/>
        <w:numPr>
          <w:ilvl w:val="1"/>
          <w:numId w:val="16"/>
        </w:numPr>
        <w:ind w:left="0" w:firstLine="851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В случае превышения платежа над начисленной суммой по арендной плате погашается задолженность по п</w:t>
      </w:r>
      <w:r>
        <w:rPr>
          <w:rFonts w:ascii="Times New Roman" w:hAnsi="Times New Roman" w:cs="Times New Roman"/>
          <w:sz w:val="20"/>
          <w:szCs w:val="20"/>
        </w:rPr>
        <w:t xml:space="preserve">еням за первый период (и последующий за ним), в котором образовалась задолженность. После погашения пеней, штрафов и всей суммы задолженности по арендной плате, оставшаяся сумма считается авансовым внесением арендной платы за ближайший оплачиваемый период.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751"/>
        <w:numPr>
          <w:ilvl w:val="1"/>
          <w:numId w:val="16"/>
        </w:numPr>
        <w:ind w:left="0" w:firstLine="851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Взаиморасчеты сторон по настоящему Договору фиксируются актом сверки, который составляется Арендодателем. В течение пяти рабочих дней со дня получения акта сверки, Арендатор обязан подписать его или представить мотивированный отказ.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751"/>
        <w:ind w:firstLine="851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Если в течение указанного срока Арендатор не подписывает акт сверки и не представляет мотивированный отказ от его подписания, акт сверки считается подписанным Арендатором.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751"/>
        <w:numPr>
          <w:ilvl w:val="1"/>
          <w:numId w:val="16"/>
        </w:numPr>
        <w:ind w:left="0" w:firstLine="851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В случае, одностороннего отказа, предусмотренного пунктом 6.2. настоящего Договора, </w:t>
      </w:r>
      <w:r>
        <w:rPr>
          <w:rFonts w:ascii="Times New Roman" w:hAnsi="Times New Roman" w:cs="Times New Roman"/>
          <w:sz w:val="20"/>
          <w:szCs w:val="20"/>
        </w:rPr>
        <w:t xml:space="preserve">досрочного расторжения Договора в случаях, предусмотренных пунктами 6.2.1.-6.2.6. настоящего Договора, арендная плата, </w:t>
      </w:r>
      <w:r>
        <w:rPr>
          <w:rFonts w:ascii="Times New Roman" w:hAnsi="Times New Roman" w:cs="Times New Roman"/>
          <w:sz w:val="20"/>
          <w:szCs w:val="20"/>
        </w:rPr>
        <w:t xml:space="preserve">предусмотренная пунктом 3.1. настоящего Договора, возврату Арендатору не подлежит.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751"/>
        <w:jc w:val="center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4. Права и обязанности Сторон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751"/>
        <w:ind w:firstLine="720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4.1. Арендодатель имеет право: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751"/>
        <w:ind w:firstLine="720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4.1.1. На односторонний отказ от исполнения Договора во внесудебном порядке, в случаях, предусмотренных пунктом 6.2. Договора;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751"/>
        <w:ind w:firstLine="720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4.1.2. На досрочное расторжение Договора в судебном порядке, в случаях, предусмотренных пунктом 6.4. Договора;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751"/>
        <w:ind w:firstLine="720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4.1.3. На беспрепятственный доступ на территорию арендуемого земельного участка с целью его осмотра на предмет соблюдения условий Договора.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751"/>
        <w:ind w:firstLine="720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4.1.4. На возмещение убытков, причиненных ухудшением качества Участка и экологической обстановки в результате хозяйственной деятельности Арендаторов, а также по иным основаниям, предусмотренным законодательством Российской Федерации.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751"/>
        <w:ind w:firstLine="720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4.2. Арендодатель обязан: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751"/>
        <w:ind w:firstLine="720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4.2.1. Выполнять в полном объеме все условия Договора.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751"/>
        <w:ind w:firstLine="720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4.2.2. Передать Арендатору участок по акту приема – передачи.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751"/>
        <w:ind w:firstLine="720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4.2.3. Письменно и своевременно уведомить Арендатора в случае изменения номеров счетов для перечисления арендной платы, указанных в пункте 3.2 Договора.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751"/>
        <w:ind w:firstLine="720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4.2.4. Письменно сообщить Арендатору не позднее, чем за 14 (четырнадцать) дней о необходимости освобождения Участка при досрочном расторжении Договора или одностороннем отказе от исполнения Договора.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751"/>
        <w:ind w:firstLine="720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4.2.5. Предоставлять расчет арендной платы Арендатору по его требованию.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751"/>
        <w:ind w:firstLine="720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4.3. Арендатор имеет право: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751"/>
        <w:ind w:firstLine="720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4.3.1. Использовать Участок на условиях, установленных Договором.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751"/>
        <w:ind w:firstLine="720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4.4. Арендатор обязан: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751"/>
        <w:ind w:firstLine="722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4.4.1. Выполнять в полном объеме все условия Договора.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751"/>
        <w:ind w:firstLine="722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4.4.2. Использовать Участок в соответствии с целевым назначением и разрешенным использованием.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751"/>
        <w:ind w:firstLine="722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4.4.3. Без получения счета и в соответствии с условиями договора уплачивать в размере и на условиях, установленных Договором, арендную плату.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751"/>
        <w:ind w:firstLine="722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4.4.4.</w:t>
        <w:tab/>
        <w:t xml:space="preserve">Обеспечивать Арендодателю и его представителям, пр</w:t>
      </w:r>
      <w:r>
        <w:rPr>
          <w:rFonts w:ascii="Times New Roman" w:hAnsi="Times New Roman" w:cs="Times New Roman"/>
          <w:sz w:val="20"/>
          <w:szCs w:val="20"/>
        </w:rPr>
        <w:t xml:space="preserve">едставителям органов государственного и муниципального земельного контроля доступ на Участок по их требованию и выполнять все предписания указанных должностных лиц, соответствующим службам доступ для эксплуатации, ремонта и обслуживания линий коммуникаций.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751"/>
        <w:ind w:firstLine="722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4.4.5. Письменно сообщить Арендод</w:t>
      </w:r>
      <w:r>
        <w:rPr>
          <w:rFonts w:ascii="Times New Roman" w:hAnsi="Times New Roman" w:cs="Times New Roman"/>
          <w:sz w:val="20"/>
          <w:szCs w:val="20"/>
        </w:rPr>
        <w:t xml:space="preserve">ателю не позднее, чем за 1 (один) месяц о предстоящем освобождении Участка в связи с окончанием срока действия Договора. Передача земельного участка по акту приема-передачи осуществляется Арендатором в день, следующий за днем прекращения действия Договора.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751"/>
        <w:ind w:firstLine="722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4.4.6. Не допускать действий, приводящих к ухудшению экологической обстановки на арендуемом земельном участке и прилегающих к нему территориях. 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751"/>
        <w:ind w:firstLine="722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4.4.7. За свой счет выполнять работы по благоустройству территории, поддержанию ее в надлежащем санитарном состоянии в соответствии с законодательством Костромской области и нормативными правовыми актами органов местного самоуправления.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751"/>
        <w:ind w:firstLine="722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4.4.8. В 10-дневный срок направить Арендодателю письменное уведомление об изменении названия, юридического адреса, электронной почты, расчетного счета или прекращения деятельности п</w:t>
      </w:r>
      <w:r>
        <w:rPr>
          <w:rFonts w:ascii="Times New Roman" w:hAnsi="Times New Roman" w:cs="Times New Roman"/>
          <w:sz w:val="20"/>
          <w:szCs w:val="20"/>
        </w:rPr>
        <w:t xml:space="preserve">редприятия, учреждения или организации в случае, если Арендатор – юридическое лицо; об изменении фамилии, имени, отчества, адреса места жительства, номера телефона, номера факса и электронной почты (если имеется) в случае, если Арендатор – физическое лицо.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751"/>
        <w:ind w:firstLine="722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4.4.9. Соблюдать санитарные, противопожарные нормы и требования, действующие правила благоустройства территории города Костромы, а так же иные требования, установленные действующим законодательством.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ind w:firstLine="722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 xml:space="preserve">4.4.10. </w:t>
      </w:r>
      <w:r>
        <w:rPr>
          <w:rFonts w:ascii="Times New Roman" w:hAnsi="Times New Roman" w:cs="Times New Roman"/>
          <w:iCs/>
          <w:sz w:val="20"/>
          <w:szCs w:val="20"/>
          <w:lang w:eastAsia="ru-RU"/>
        </w:rPr>
        <w:t xml:space="preserve">Получить разрешение на рубку (обрезку) древесно-кустарниковой растительности и ликвидацию трав</w:t>
      </w:r>
      <w:r>
        <w:rPr>
          <w:rFonts w:ascii="Times New Roman" w:hAnsi="Times New Roman" w:cs="Times New Roman"/>
          <w:iCs/>
          <w:sz w:val="20"/>
          <w:szCs w:val="20"/>
          <w:lang w:eastAsia="ru-RU"/>
        </w:rPr>
        <w:t xml:space="preserve">яного покрова в соответствии с Порядком выдачи разрешений на рубку (обрезку) древесно-кустарниковой растительности и ликвидацию травяного покрова на территории города Костромы, утвержденным постановлением Главы города Костромы от 30 июня 2009 года № 1169</w:t>
      </w:r>
      <w:r>
        <w:rPr>
          <w:rFonts w:ascii="Times New Roman" w:hAnsi="Times New Roman" w:cs="Times New Roman"/>
          <w:sz w:val="20"/>
          <w:szCs w:val="20"/>
          <w:highlight w:val="none"/>
        </w:rPr>
        <w:t xml:space="preserve">.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751"/>
        <w:ind w:firstLine="722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4.4.11. В случае если Участок находится в зоне археологического слоя, соблюдать особые условия использования земельного участка и режим хозяйственной деятельности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751"/>
        <w:ind w:firstLine="722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4.4.12. Не передавать арендованный земельный участок в субаренду, а также права и обязанности по договору третьим лицам, не осуществлять мероприятий по его разделу, объединению, перераспределению, выделу.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751"/>
        <w:ind w:firstLine="722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4.4.13. Возвратить Участок в надлежащем состоянии по окончанию действия Договора, при досрочном расторжении Договора, одностороннем отказе от исполнения Договора в день, следующий за днем прекращения Договора.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751"/>
        <w:ind w:firstLine="722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4.4.14. Оформить разрешение на строительство и проведение земляных работ при прокладке инженерных сетей в Администрации города Костромы.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751"/>
        <w:ind w:firstLine="720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4.5. Арендодатель и Арендатор имеют иные права и несут иные обязанности, установленные законодательством Российской Федерации.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751"/>
        <w:jc w:val="center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5. Ответственность Сторон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751"/>
        <w:ind w:firstLine="720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5.1. Ответственность за состояние Участка наступает у Арендатора с момента подписания Сторонами акта приема-передачи и прекращается с момента подписания акта о его передаче Арендодателю.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ind w:firstLine="720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  <w14:ligatures w14:val="none"/>
        </w:rPr>
      </w:pPr>
      <w:r>
        <w:rPr>
          <w:rFonts w:ascii="Times New Roman" w:hAnsi="Times New Roman" w:cs="Times New Roman"/>
          <w:sz w:val="20"/>
          <w:szCs w:val="20"/>
        </w:rPr>
        <w:t xml:space="preserve">5.2. За нарушение услов</w:t>
      </w:r>
      <w:r>
        <w:rPr>
          <w:rFonts w:ascii="Times New Roman" w:hAnsi="Times New Roman" w:cs="Times New Roman"/>
          <w:sz w:val="20"/>
          <w:szCs w:val="20"/>
        </w:rPr>
        <w:t xml:space="preserve">ий Договора Стороны несут ответственность, предусмотренную законодательством Российской Федерации.</w:t>
      </w:r>
      <w:r>
        <w:rPr>
          <w:rFonts w:ascii="Times New Roman" w:hAnsi="Times New Roman" w:cs="Times New Roman"/>
          <w:sz w:val="20"/>
          <w:szCs w:val="20"/>
          <w14:ligatures w14:val="none"/>
        </w:rPr>
      </w:r>
      <w:r>
        <w:rPr>
          <w:rFonts w:ascii="Times New Roman" w:hAnsi="Times New Roman" w:cs="Times New Roman"/>
          <w:sz w:val="20"/>
          <w:szCs w:val="20"/>
          <w14:ligatures w14:val="none"/>
        </w:rPr>
      </w:r>
    </w:p>
    <w:p>
      <w:pPr>
        <w:ind w:firstLine="720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  <w14:ligatures w14:val="none"/>
        </w:rPr>
      </w:pPr>
      <w:r>
        <w:rPr>
          <w:rFonts w:ascii="Times New Roman" w:hAnsi="Times New Roman" w:cs="Times New Roman"/>
          <w:sz w:val="20"/>
          <w:szCs w:val="20"/>
        </w:rPr>
        <w:t xml:space="preserve">5.3. </w:t>
      </w:r>
      <w:r>
        <w:rPr>
          <w:rFonts w:ascii="Times New Roman" w:hAnsi="Times New Roman" w:cs="Times New Roman"/>
          <w:sz w:val="20"/>
          <w:szCs w:val="20"/>
          <w:lang w:eastAsia="ru-RU"/>
        </w:rPr>
        <w:t xml:space="preserve">За нарушение срока внесения арендной платы по Договору Арендатор выплачивает Арендодателю пени из расчета 1/150 ставки рефинансирования Центрального Банка Российской Федерации от размера невнесенной арендной платы за каждый календарный день просрочки.</w:t>
      </w:r>
      <w:r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eastAsia="ru-RU"/>
        </w:rPr>
        <w:t xml:space="preserve">Пени начисляются со дня образования задолженности по арендной плате и перечисляются на следующие реквизиты: получатель УФК по Костромской области (Управление имущественных и земельных отношений Администрации города Костромы), ИНН 4401006568, КПП 440101001</w:t>
      </w:r>
      <w:r>
        <w:rPr>
          <w:rFonts w:ascii="Times New Roman" w:hAnsi="Times New Roman" w:cs="Times New Roman"/>
          <w:sz w:val="20"/>
          <w:szCs w:val="20"/>
          <w:lang w:eastAsia="ru-RU"/>
        </w:rPr>
        <w:t xml:space="preserve">, единый казначейский счет 40102810945370000034, казначейский счет 03100643000000014100, банк получателя ОТДЕЛЕНИЕ КОСТРОМА БАНКА РОССИИ//УФК ПО КОСТРОМСКОЙ ОБЛАСТИ г. Кострома, БИК 013469126, КБК 96611607090040002140, ОКТМО 34701000.</w:t>
      </w:r>
      <w:r>
        <w:rPr>
          <w:rFonts w:ascii="Times New Roman" w:hAnsi="Times New Roman" w:cs="Times New Roman"/>
          <w:sz w:val="20"/>
          <w:szCs w:val="20"/>
          <w14:ligatures w14:val="none"/>
        </w:rPr>
      </w:r>
      <w:r>
        <w:rPr>
          <w:rFonts w:ascii="Times New Roman" w:hAnsi="Times New Roman" w:cs="Times New Roman"/>
          <w:sz w:val="20"/>
          <w:szCs w:val="20"/>
          <w14:ligatures w14:val="none"/>
        </w:rPr>
      </w:r>
    </w:p>
    <w:p>
      <w:pPr>
        <w:pStyle w:val="751"/>
        <w:ind w:firstLine="720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5.4. В случае если Арендатор в срок</w:t>
      </w:r>
      <w:r>
        <w:rPr>
          <w:rFonts w:ascii="Times New Roman" w:hAnsi="Times New Roman" w:cs="Times New Roman"/>
          <w:sz w:val="20"/>
          <w:szCs w:val="20"/>
        </w:rPr>
        <w:t xml:space="preserve">, установленный в пункте 4.4.12 Договора, не возвратил Участок, либо возвратил его несвоевременно, уплачивается штраф в размере 1/12 ежегодной арендной платы, при этом действие договора не считается возобновленным на тех же условиях на неопределенный срок.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751"/>
        <w:ind w:firstLine="720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5.5. В случае невыполнения действий, указанных в пунктах 4.4.2, 4.4.6, 4.4.8, 4.4.11, 4.4.13 Договора, Арендатор уплачивает штраф в размере 1/12 ежегодной арендной платы.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751"/>
        <w:ind w:firstLine="720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5.6. Ответственность Сторон за нарушение обязательств по Договору, вызванных действием обстоятельств непреодолимой силы, регулируется законодательством Российской Федерации.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751"/>
        <w:ind w:firstLine="720"/>
        <w:jc w:val="center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6. Изменение, расторжение и прекращение Договора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751"/>
        <w:ind w:firstLine="720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6.1. Все изменения и (или) дополнения к Договору оформляются Сторонами в письменной форме.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751"/>
        <w:ind w:firstLine="720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6.2. Арендодатель имеет право на односторонний отказ от исполнения Договора, если такой Договор заключен на срок не более чем пять лет, в случаях: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751"/>
        <w:ind w:firstLine="720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6.2.1. при использовании земельного участка не в соответствии с его целевым назначением и разрешенным использованием, предусмотренным в пункте 1.1 Договора;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751"/>
        <w:ind w:firstLine="720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6.2.2. при существенном ухудшении состояния земельного участка;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751"/>
        <w:ind w:firstLine="720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6.2.3. невнесения и (или) неполного внесения Арендатором арендной платы по истечении установленного Договором срока платежа;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751"/>
        <w:ind w:firstLine="720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6.2.4. при изъятии земельного участка для государственных или муниципальных нужд в соответствии с правилами, установленными действующим законодательством Российской Федерации;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751"/>
        <w:ind w:firstLine="720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6.2.5. при использовании земельного участка с иными существенными нарушениями условий Договора;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751"/>
        <w:ind w:firstLine="720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6.2.6. в иных случаях, предусмотренных действующим законодательством Российской Федерации.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751"/>
        <w:ind w:firstLine="720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6.3. В случае одностороннего отказа </w:t>
      </w:r>
      <w:r>
        <w:rPr>
          <w:rFonts w:ascii="Times New Roman" w:hAnsi="Times New Roman" w:cs="Times New Roman"/>
          <w:sz w:val="20"/>
          <w:szCs w:val="20"/>
        </w:rPr>
        <w:t xml:space="preserve">от исполнения Договора, Договор считается расторгнутым по истечении 14 (четырнадцати) дней с момента получения Арендатором уведомления об одностороннем отказе от исполнения Договора. Уведомление направляется Арендодателем заказным письмом с уведомлением и </w:t>
      </w:r>
      <w:r>
        <w:rPr>
          <w:rFonts w:ascii="Times New Roman" w:hAnsi="Times New Roman" w:cs="Times New Roman"/>
          <w:sz w:val="20"/>
          <w:szCs w:val="20"/>
        </w:rPr>
        <w:t xml:space="preserve">считается полученным в день его получения Арендатором либо в день извещения организацией почтовой связи об отсутствии Арендатора по всем адресам, указанным в Договоре. В этом случае заключение дополнительного соглашения о расторжении Договора не требуется.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751"/>
        <w:ind w:firstLine="720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Односторонний отказ от исполнения Договора возможен способом факсимильной связи, либо путем направления уведомления на электронную почту, если Арендатором в Договоре указаны соответствующие реквизиты.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751"/>
        <w:ind w:firstLine="720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6.4. Если иное не предусмотрено федеральным законодательством, досрочное расторжение Договора,</w:t>
      </w:r>
      <w:r>
        <w:rPr>
          <w:rFonts w:ascii="Times New Roman" w:hAnsi="Times New Roman" w:cs="Times New Roman"/>
          <w:sz w:val="20"/>
          <w:szCs w:val="20"/>
        </w:rPr>
        <w:t xml:space="preserve"> заключенного на срок более чем пять лет по требованию Арендодателя возможно только на основании решения суда в случаях, предусмотренных пунктами 6.2.1 – 6.2.6 Договора. Условия об одностороннем отказе от исполнения Договора в данном случае не применяются.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751"/>
        <w:ind w:firstLine="720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6.5. Односторонний отказ от исполнения Договора, предусмотренный пу</w:t>
      </w:r>
      <w:r>
        <w:rPr>
          <w:rFonts w:ascii="Times New Roman" w:hAnsi="Times New Roman" w:cs="Times New Roman"/>
          <w:sz w:val="20"/>
          <w:szCs w:val="20"/>
        </w:rPr>
        <w:t xml:space="preserve">нктом 6.2 Договора, допускается только в том случае, если Арендатор использует Участок в целях осуществления предпринимательской деятельности. В иных случаях допускается только досрочное расторжение Договора в порядке, предусмотренном пунктом 6.4 Договора.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751"/>
        <w:ind w:firstLine="720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6.6. Договор считается прекращенным по истечении срока, на который он заключен.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751"/>
        <w:ind w:firstLine="720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6.7. При прекращени</w:t>
      </w:r>
      <w:r>
        <w:rPr>
          <w:rFonts w:ascii="Times New Roman" w:hAnsi="Times New Roman" w:cs="Times New Roman"/>
          <w:sz w:val="20"/>
          <w:szCs w:val="20"/>
        </w:rPr>
        <w:t xml:space="preserve">и Договора, Арендатор обязан вернуть Арендодателю Участок в надлежащем состоянии. В случае если Арендатор уклонился от возвращения Участка, Участок считается возвращенным Арендодателю со дня составления Арендодателем акта об одностороннем возврате Участка.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751"/>
        <w:jc w:val="center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7. Рассмотрение и урегулирование споров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751"/>
        <w:ind w:firstLine="720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7.1. Все споры между Сторонами, возникающие по Договору, разрешаются в соответствии с законодательством Российской Федерации в судах Костромской области по месту нахождения Арендодателя.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751"/>
        <w:jc w:val="center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8. Особые условия договора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ind w:left="0" w:right="0" w:firstLine="540"/>
        <w:jc w:val="both"/>
        <w:spacing w:before="0" w:beforeAutospacing="0" w:after="0" w:afterAutospacing="0" w:line="240" w:lineRule="auto"/>
        <w:rPr>
          <w:sz w:val="20"/>
          <w:szCs w:val="2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0"/>
          <w:szCs w:val="20"/>
        </w:rPr>
        <w:t xml:space="preserve">8.1. Насто</w:t>
      </w:r>
      <w:r>
        <w:rPr>
          <w:rFonts w:ascii="Times New Roman" w:hAnsi="Times New Roman" w:cs="Times New Roman"/>
          <w:sz w:val="20"/>
          <w:szCs w:val="20"/>
        </w:rPr>
        <w:t xml:space="preserve">ящий Договор </w:t>
      </w: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 xml:space="preserve">заключается в электронной форме и подписывается усиленной квалифицированной электронной подписью сторон такого договора.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firstLine="720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  <w:t xml:space="preserve">.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751"/>
        <w:jc w:val="center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9. Реквизиты Сторон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751"/>
        <w:ind w:firstLine="720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Арендодатель: Управление имущественных и земельных отношений Администрации города Костромы, 156005, город Кострома, площадь Конституции, дом 2, ИНН 4401006568, ОГРН: 1034408610411, КПП 440101001, номер телефона: +7 (4942) 42-68-41.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751"/>
        <w:ind w:firstLine="720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Арендатор:  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751"/>
        <w:jc w:val="center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751"/>
        <w:jc w:val="center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10. Подписи Сторон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751"/>
        <w:ind w:firstLine="851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tbl>
      <w:tblPr>
        <w:tblW w:w="9828" w:type="dxa"/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0A0" w:firstRow="1" w:lastRow="0" w:firstColumn="1" w:lastColumn="0" w:noHBand="0" w:noVBand="0"/>
      </w:tblPr>
      <w:tblGrid>
        <w:gridCol w:w="5327"/>
        <w:gridCol w:w="4500"/>
      </w:tblGrid>
      <w:tr>
        <w:tblPrEx/>
        <w:trPr/>
        <w:tc>
          <w:tcPr>
            <w:tcW w:w="5327" w:type="dxa"/>
            <w:textDirection w:val="lrTb"/>
            <w:noWrap w:val="false"/>
          </w:tcPr>
          <w:p>
            <w:pPr>
              <w:pStyle w:val="751"/>
              <w:jc w:val="center"/>
              <w:spacing w:before="0" w:beforeAutospacing="0" w:after="0" w:afterAutospacing="0" w:line="240" w:lineRule="auto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Арендодатель: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751"/>
              <w:jc w:val="center"/>
              <w:spacing w:before="0" w:beforeAutospacing="0" w:after="0" w:afterAutospacing="0" w:line="240" w:lineRule="auto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4500" w:type="dxa"/>
            <w:textDirection w:val="lrTb"/>
            <w:noWrap w:val="false"/>
          </w:tcPr>
          <w:p>
            <w:pPr>
              <w:pStyle w:val="751"/>
              <w:ind w:firstLine="65"/>
              <w:jc w:val="center"/>
              <w:spacing w:before="0" w:beforeAutospacing="0" w:after="0" w:afterAutospacing="0" w:line="240" w:lineRule="auto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Арендатор: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5327" w:type="dxa"/>
            <w:textDirection w:val="lrTb"/>
            <w:noWrap w:val="false"/>
          </w:tcPr>
          <w:p>
            <w:pPr>
              <w:pStyle w:val="751"/>
              <w:jc w:val="center"/>
              <w:spacing w:before="0" w:beforeAutospacing="0" w:after="0" w:afterAutospacing="0" w:line="240" w:lineRule="auto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имущественных и земельных отношений Администрации города Костромы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4500" w:type="dxa"/>
            <w:textDirection w:val="lrTb"/>
            <w:noWrap w:val="false"/>
          </w:tcPr>
          <w:p>
            <w:pPr>
              <w:pStyle w:val="751"/>
              <w:jc w:val="center"/>
              <w:spacing w:before="0" w:beforeAutospacing="0" w:after="0" w:afterAutospacing="0" w:line="240" w:lineRule="auto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5327" w:type="dxa"/>
            <w:textDirection w:val="lrTb"/>
            <w:noWrap w:val="false"/>
          </w:tcPr>
          <w:p>
            <w:pPr>
              <w:pStyle w:val="751"/>
              <w:ind w:firstLine="851"/>
              <w:jc w:val="center"/>
              <w:spacing w:before="0" w:beforeAutospacing="0" w:after="0" w:afterAutospacing="0" w:line="240" w:lineRule="auto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751"/>
              <w:jc w:val="center"/>
              <w:spacing w:before="0" w:beforeAutospacing="0" w:after="0" w:afterAutospacing="0" w:line="240" w:lineRule="auto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Начальник Управления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751"/>
              <w:ind w:firstLine="180"/>
              <w:jc w:val="center"/>
              <w:spacing w:before="0" w:beforeAutospacing="0" w:after="0" w:afterAutospacing="0" w:line="240" w:lineRule="auto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______________________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4500" w:type="dxa"/>
            <w:textDirection w:val="lrTb"/>
            <w:noWrap w:val="false"/>
          </w:tcPr>
          <w:p>
            <w:pPr>
              <w:pStyle w:val="751"/>
              <w:ind w:firstLine="60"/>
              <w:jc w:val="center"/>
              <w:spacing w:before="0" w:beforeAutospacing="0" w:after="0" w:afterAutospacing="0" w:line="240" w:lineRule="auto"/>
              <w:widowControl w:val="off"/>
              <w:tabs>
                <w:tab w:val="clear" w:pos="708" w:leader="none"/>
                <w:tab w:val="left" w:pos="1832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___________________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</w:tbl>
    <w:p>
      <w:pPr>
        <w:ind w:left="7655" w:firstLine="0"/>
        <w:jc w:val="both"/>
        <w:spacing w:before="0" w:beforeAutospacing="0" w:after="0" w:afterAutospacing="0" w:line="240" w:lineRule="auto"/>
        <w:widowControl w:val="off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sectPr>
      <w:footnotePr>
        <w:numFmt w:val="decimal"/>
      </w:footnotePr>
      <w:endnotePr/>
      <w:type w:val="nextPage"/>
      <w:pgSz w:w="11906" w:h="16838" w:orient="portrait"/>
      <w:pgMar w:top="425" w:right="707" w:bottom="539" w:left="1701" w:header="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</w:font>
  <w:font w:name="Calibri">
    <w:panose1 w:val="020F0502020204030204"/>
  </w:font>
  <w:font w:name="Mangal">
    <w:panose1 w:val="02040503050203030202"/>
  </w:font>
  <w:font w:name="a_Timer">
    <w:panose1 w:val="02000603000000000000"/>
  </w:font>
  <w:font w:name="Liberation Sans">
    <w:panose1 w:val="020B0604020202020204"/>
  </w:font>
  <w:font w:name="Segoe UI">
    <w:panose1 w:val="020B0502040204020203"/>
  </w:font>
  <w:font w:name="Microsoft YaHei">
    <w:panose1 w:val="020B050302020402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rPr>
          <w:sz w:val="12"/>
        </w:rPr>
      </w:pPr>
      <w:r>
        <w:separator/>
      </w:r>
      <w:r>
        <w:rPr>
          <w:sz w:val="12"/>
        </w:rPr>
      </w:r>
      <w:r>
        <w:rPr>
          <w:sz w:val="12"/>
        </w:rPr>
      </w:r>
    </w:p>
  </w:footnote>
  <w:footnote w:type="continuationSeparator" w:id="0">
    <w:p>
      <w:pPr>
        <w:rPr>
          <w:sz w:val="12"/>
        </w:rPr>
      </w:pPr>
      <w:r>
        <w:continuationSeparator/>
      </w:r>
      <w:r>
        <w:rPr>
          <w:sz w:val="12"/>
        </w:rPr>
      </w:r>
      <w:r>
        <w:rPr>
          <w:sz w:val="12"/>
        </w:rPr>
      </w:r>
    </w:p>
  </w:footnote>
  <w:footnote w:id="2">
    <w:p>
      <w:pPr>
        <w:pStyle w:val="822"/>
        <w:contextualSpacing/>
        <w:jc w:val="both"/>
        <w:spacing w:before="0" w:after="0" w:line="216" w:lineRule="auto"/>
      </w:pPr>
      <w:r>
        <w:rPr>
          <w:rStyle w:val="787"/>
        </w:rPr>
        <w:footnoteRef/>
      </w:r>
      <w:r>
        <w:t xml:space="preserve"> </w:t>
      </w:r>
      <w:r>
        <w:rPr>
          <w:sz w:val="18"/>
          <w:szCs w:val="18"/>
        </w:rPr>
        <w:t xml:space="preserve">Заполняется при подаче Заявки юридическим лицом, или лицом действующим на основании доверенности.</w:t>
      </w:r>
      <w:r/>
    </w:p>
  </w:footnote>
  <w:footnote w:id="3">
    <w:p>
      <w:pPr>
        <w:pStyle w:val="751"/>
        <w:jc w:val="both"/>
      </w:pPr>
      <w:r>
        <w:rPr>
          <w:rStyle w:val="787"/>
        </w:rPr>
        <w:footnoteRef/>
      </w:r>
      <w:r>
        <w:t xml:space="preserve"> </w:t>
      </w:r>
      <w:r>
        <w:rPr>
          <w:sz w:val="18"/>
          <w:szCs w:val="18"/>
        </w:rPr>
        <w:t xml:space="preserve">Заполняется при подаче Заявки лицом, действующим по доверенности.</w:t>
      </w:r>
      <w:r/>
    </w:p>
  </w:footnote>
  <w:footnote w:id="4">
    <w:p>
      <w:pPr>
        <w:pStyle w:val="822"/>
        <w:contextualSpacing/>
        <w:jc w:val="both"/>
        <w:spacing w:before="0" w:after="0" w:line="216" w:lineRule="auto"/>
      </w:pPr>
      <w:r>
        <w:rPr>
          <w:rStyle w:val="787"/>
        </w:rPr>
        <w:footnoteRef/>
      </w:r>
      <w:r>
        <w:t xml:space="preserve"> </w:t>
      </w:r>
      <w:r>
        <w:rPr>
          <w:sz w:val="18"/>
          <w:szCs w:val="18"/>
        </w:rPr>
        <w:t xml:space="preserve">Ознакомлен с Регламентом Оператора электронной площадки при регистрации (аккредитации) на электронной площадке</w:t>
      </w:r>
      <w:r>
        <w:rPr>
          <w:sz w:val="18"/>
          <w:szCs w:val="18"/>
        </w:rPr>
      </w:r>
      <w:r/>
    </w:p>
  </w:footnote>
  <w:footnote w:id="5">
    <w:p>
      <w:pPr>
        <w:pStyle w:val="822"/>
        <w:contextualSpacing/>
        <w:jc w:val="both"/>
        <w:spacing w:before="0" w:after="0" w:line="216" w:lineRule="auto"/>
      </w:pPr>
      <w:r>
        <w:rPr>
          <w:rStyle w:val="787"/>
        </w:rPr>
        <w:footnoteRef/>
      </w:r>
      <w:r>
        <w:t xml:space="preserve"> </w:t>
      </w:r>
      <w:r>
        <w:rPr>
          <w:sz w:val="18"/>
          <w:szCs w:val="18"/>
        </w:rPr>
        <w:t xml:space="preserve">Заявитель вправе продекларировать свою принадлежность к субъектам малого и среднего предпринимательства путем представления в форме электронного документа или в форме электронного обра</w:t>
      </w:r>
      <w:r>
        <w:rPr>
          <w:sz w:val="18"/>
          <w:szCs w:val="18"/>
        </w:rPr>
        <w:t xml:space="preserve">за документа сведений из единого реестра субъектов малого и среднего предпринимательства, ведение которого осуществляется в соответствии с Федеральным законом от 24.07.2007 № 209-ФЗ «О развитии малого и среднего предпринимательства в Российской Федерации».</w:t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11" w:hanging="360"/>
        <w:tabs>
          <w:tab w:val="num" w:pos="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2246" w:hanging="1395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2246" w:hanging="1395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246" w:hanging="1395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46" w:hanging="1395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246" w:hanging="1395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291" w:hanging="144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291" w:hanging="144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651" w:hanging="1800"/>
        <w:tabs>
          <w:tab w:val="num" w:pos="0" w:leader="none"/>
        </w:tabs>
      </w:pPr>
    </w:lvl>
  </w:abstractNum>
  <w:abstractNum w:abstractNumId="1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390" w:hanging="390"/>
        <w:tabs>
          <w:tab w:val="num" w:pos="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1440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2160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3240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3960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5040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5760" w:hanging="144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840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560" w:hanging="1800"/>
        <w:tabs>
          <w:tab w:val="num" w:pos="0" w:leader="none"/>
        </w:tabs>
      </w:pPr>
    </w:lvl>
  </w:abstractNum>
  <w:abstractNum w:abstractNumId="2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390" w:hanging="390"/>
        <w:tabs>
          <w:tab w:val="num" w:pos="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2160" w:hanging="720"/>
        <w:tabs>
          <w:tab w:val="num" w:pos="0" w:leader="none"/>
        </w:tabs>
      </w:pPr>
      <w:rPr>
        <w:color w:val="auto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600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400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840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8640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0080" w:hanging="144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1880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3320" w:hanging="1800"/>
        <w:tabs>
          <w:tab w:val="num" w:pos="0" w:leader="none"/>
        </w:tabs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</w:lvl>
    <w:lvl w:ilvl="1">
      <w:start w:val="1"/>
      <w:numFmt w:val="decimal"/>
      <w:isLgl w:val="false"/>
      <w:suff w:val="space"/>
      <w:lvlText w:val="%1.%2."/>
      <w:lvlJc w:val="left"/>
      <w:pPr>
        <w:ind w:left="357" w:firstLine="3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57" w:firstLine="363"/>
        <w:tabs>
          <w:tab w:val="num" w:pos="357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  <w:tabs>
          <w:tab w:val="num" w:pos="216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  <w:tabs>
          <w:tab w:val="num" w:pos="252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  <w:tabs>
          <w:tab w:val="num" w:pos="324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  <w:tabs>
          <w:tab w:val="num" w:pos="396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  <w:tabs>
          <w:tab w:val="num" w:pos="432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  <w:tabs>
          <w:tab w:val="num" w:pos="5040" w:leader="none"/>
        </w:tabs>
      </w:pPr>
    </w:lvl>
  </w:abstractNum>
  <w:abstractNum w:abstractNumId="4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abstractNum w:abstractNumId="5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390" w:hanging="390"/>
        <w:tabs>
          <w:tab w:val="num" w:pos="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2160" w:hanging="720"/>
        <w:tabs>
          <w:tab w:val="num" w:pos="0" w:leader="none"/>
        </w:tabs>
      </w:pPr>
      <w:rPr>
        <w:color w:val="auto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600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400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840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8640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0080" w:hanging="144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1880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3320" w:hanging="1800"/>
        <w:tabs>
          <w:tab w:val="num" w:pos="0" w:leader="none"/>
        </w:tabs>
      </w:pPr>
    </w:lvl>
  </w:abstractNum>
  <w:abstractNum w:abstractNumId="6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390" w:hanging="390"/>
        <w:tabs>
          <w:tab w:val="num" w:pos="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2160" w:hanging="720"/>
        <w:tabs>
          <w:tab w:val="num" w:pos="0" w:leader="none"/>
        </w:tabs>
      </w:pPr>
      <w:rPr>
        <w:color w:val="auto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600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400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840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8640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0080" w:hanging="144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1880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3320" w:hanging="1800"/>
        <w:tabs>
          <w:tab w:val="num" w:pos="0" w:leader="none"/>
        </w:tabs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  <w:rPr>
        <w:rFonts w:hint="default"/>
      </w:rPr>
    </w:lvl>
    <w:lvl w:ilvl="1">
      <w:start w:val="1"/>
      <w:numFmt w:val="decimal"/>
      <w:isLgl w:val="false"/>
      <w:suff w:val="space"/>
      <w:lvlText w:val="%1.%2."/>
      <w:lvlJc w:val="left"/>
      <w:pPr>
        <w:ind w:left="357" w:firstLine="3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57" w:firstLine="363"/>
        <w:tabs>
          <w:tab w:val="num" w:pos="357" w:leader="none"/>
        </w:tabs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  <w:tabs>
          <w:tab w:val="num" w:pos="2160" w:leader="none"/>
        </w:tabs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  <w:tabs>
          <w:tab w:val="num" w:pos="2520" w:leader="none"/>
        </w:tabs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  <w:tabs>
          <w:tab w:val="num" w:pos="3240" w:leader="none"/>
        </w:tabs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  <w:tabs>
          <w:tab w:val="num" w:pos="3960" w:leader="none"/>
        </w:tabs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  <w:tabs>
          <w:tab w:val="num" w:pos="4320" w:leader="none"/>
        </w:tabs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  <w:tabs>
          <w:tab w:val="num" w:pos="5040" w:leader="none"/>
        </w:tabs>
      </w:pPr>
      <w:rPr>
        <w:rFonts w:hint="default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11" w:hanging="360"/>
        <w:tabs>
          <w:tab w:val="num" w:pos="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2246" w:hanging="1395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2246" w:hanging="1395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246" w:hanging="1395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46" w:hanging="1395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246" w:hanging="1395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291" w:hanging="144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291" w:hanging="144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651" w:hanging="1800"/>
        <w:tabs>
          <w:tab w:val="num" w:pos="0" w:leader="none"/>
        </w:tabs>
      </w:pPr>
    </w:lvl>
  </w:abstractNum>
  <w:abstractNum w:abstractNumId="9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390" w:hanging="390"/>
        <w:tabs>
          <w:tab w:val="num" w:pos="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1440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2160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3240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3960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5040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5760" w:hanging="144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840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560" w:hanging="1800"/>
        <w:tabs>
          <w:tab w:val="num" w:pos="0" w:leader="none"/>
        </w:tabs>
      </w:pPr>
    </w:lvl>
  </w:abstractNum>
  <w:abstractNum w:abstractNumId="10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390" w:hanging="390"/>
        <w:tabs>
          <w:tab w:val="num" w:pos="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2160" w:hanging="720"/>
        <w:tabs>
          <w:tab w:val="num" w:pos="0" w:leader="none"/>
        </w:tabs>
      </w:pPr>
      <w:rPr>
        <w:color w:val="auto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600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400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840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8640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0080" w:hanging="144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1880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3320" w:hanging="1800"/>
        <w:tabs>
          <w:tab w:val="num" w:pos="0" w:leader="none"/>
        </w:tabs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</w:lvl>
    <w:lvl w:ilvl="1">
      <w:start w:val="1"/>
      <w:numFmt w:val="decimal"/>
      <w:isLgl w:val="false"/>
      <w:suff w:val="space"/>
      <w:lvlText w:val="%1.%2."/>
      <w:lvlJc w:val="left"/>
      <w:pPr>
        <w:ind w:left="357" w:firstLine="3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57" w:firstLine="363"/>
        <w:tabs>
          <w:tab w:val="num" w:pos="357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  <w:tabs>
          <w:tab w:val="num" w:pos="216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  <w:tabs>
          <w:tab w:val="num" w:pos="252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  <w:tabs>
          <w:tab w:val="num" w:pos="324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  <w:tabs>
          <w:tab w:val="num" w:pos="396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  <w:tabs>
          <w:tab w:val="num" w:pos="432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  <w:tabs>
          <w:tab w:val="num" w:pos="5040" w:leader="none"/>
        </w:tabs>
      </w:pPr>
    </w:lvl>
  </w:abstractNum>
  <w:abstractNum w:abstractNumId="12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390" w:hanging="390"/>
        <w:tabs>
          <w:tab w:val="num" w:pos="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2160" w:hanging="720"/>
        <w:tabs>
          <w:tab w:val="num" w:pos="0" w:leader="none"/>
        </w:tabs>
      </w:pPr>
      <w:rPr>
        <w:color w:val="auto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600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400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840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8640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0080" w:hanging="144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1880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3320" w:hanging="1800"/>
        <w:tabs>
          <w:tab w:val="num" w:pos="0" w:leader="none"/>
        </w:tabs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11" w:hanging="360"/>
        <w:tabs>
          <w:tab w:val="num" w:pos="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2246" w:hanging="1395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2246" w:hanging="1395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246" w:hanging="1395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46" w:hanging="1395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246" w:hanging="1395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291" w:hanging="144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291" w:hanging="144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651" w:hanging="1800"/>
        <w:tabs>
          <w:tab w:val="num" w:pos="0" w:leader="none"/>
        </w:tabs>
      </w:pPr>
    </w:lvl>
  </w:abstractNum>
  <w:abstractNum w:abstractNumId="14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390" w:hanging="390"/>
        <w:tabs>
          <w:tab w:val="num" w:pos="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1440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2160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3240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3960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5040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5760" w:hanging="144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840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560" w:hanging="1800"/>
        <w:tabs>
          <w:tab w:val="num" w:pos="0" w:leader="none"/>
        </w:tabs>
      </w:pPr>
    </w:lvl>
  </w:abstractNum>
  <w:abstractNum w:abstractNumId="15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390" w:hanging="390"/>
        <w:tabs>
          <w:tab w:val="num" w:pos="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2160" w:hanging="720"/>
        <w:tabs>
          <w:tab w:val="num" w:pos="0" w:leader="none"/>
        </w:tabs>
      </w:pPr>
      <w:rPr>
        <w:color w:val="auto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600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400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840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8640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0080" w:hanging="144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1880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3320" w:hanging="1800"/>
        <w:tabs>
          <w:tab w:val="num" w:pos="0" w:leader="none"/>
        </w:tabs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36">
    <w:name w:val="Heading 1 Char"/>
    <w:basedOn w:val="761"/>
    <w:link w:val="752"/>
    <w:uiPriority w:val="9"/>
    <w:rPr>
      <w:rFonts w:ascii="Arial" w:hAnsi="Arial" w:eastAsia="Arial" w:cs="Arial"/>
      <w:sz w:val="40"/>
      <w:szCs w:val="40"/>
    </w:rPr>
  </w:style>
  <w:style w:type="character" w:styleId="737">
    <w:name w:val="Heading 2 Char"/>
    <w:basedOn w:val="761"/>
    <w:link w:val="753"/>
    <w:uiPriority w:val="9"/>
    <w:rPr>
      <w:rFonts w:ascii="Arial" w:hAnsi="Arial" w:eastAsia="Arial" w:cs="Arial"/>
      <w:sz w:val="34"/>
    </w:rPr>
  </w:style>
  <w:style w:type="character" w:styleId="738">
    <w:name w:val="Heading 3 Char"/>
    <w:basedOn w:val="761"/>
    <w:link w:val="754"/>
    <w:uiPriority w:val="9"/>
    <w:rPr>
      <w:rFonts w:ascii="Arial" w:hAnsi="Arial" w:eastAsia="Arial" w:cs="Arial"/>
      <w:sz w:val="30"/>
      <w:szCs w:val="30"/>
    </w:rPr>
  </w:style>
  <w:style w:type="character" w:styleId="739">
    <w:name w:val="Heading 4 Char"/>
    <w:basedOn w:val="761"/>
    <w:link w:val="755"/>
    <w:uiPriority w:val="9"/>
    <w:rPr>
      <w:rFonts w:ascii="Arial" w:hAnsi="Arial" w:eastAsia="Arial" w:cs="Arial"/>
      <w:b/>
      <w:bCs/>
      <w:sz w:val="26"/>
      <w:szCs w:val="26"/>
    </w:rPr>
  </w:style>
  <w:style w:type="character" w:styleId="740">
    <w:name w:val="Heading 5 Char"/>
    <w:basedOn w:val="761"/>
    <w:link w:val="756"/>
    <w:uiPriority w:val="9"/>
    <w:rPr>
      <w:rFonts w:ascii="Arial" w:hAnsi="Arial" w:eastAsia="Arial" w:cs="Arial"/>
      <w:b/>
      <w:bCs/>
      <w:sz w:val="24"/>
      <w:szCs w:val="24"/>
    </w:rPr>
  </w:style>
  <w:style w:type="character" w:styleId="741">
    <w:name w:val="Heading 6 Char"/>
    <w:basedOn w:val="761"/>
    <w:link w:val="757"/>
    <w:uiPriority w:val="9"/>
    <w:rPr>
      <w:rFonts w:ascii="Arial" w:hAnsi="Arial" w:eastAsia="Arial" w:cs="Arial"/>
      <w:b/>
      <w:bCs/>
      <w:sz w:val="22"/>
      <w:szCs w:val="22"/>
    </w:rPr>
  </w:style>
  <w:style w:type="character" w:styleId="742">
    <w:name w:val="Heading 7 Char"/>
    <w:basedOn w:val="761"/>
    <w:link w:val="75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43">
    <w:name w:val="Heading 8 Char"/>
    <w:basedOn w:val="761"/>
    <w:link w:val="759"/>
    <w:uiPriority w:val="9"/>
    <w:rPr>
      <w:rFonts w:ascii="Arial" w:hAnsi="Arial" w:eastAsia="Arial" w:cs="Arial"/>
      <w:i/>
      <w:iCs/>
      <w:sz w:val="22"/>
      <w:szCs w:val="22"/>
    </w:rPr>
  </w:style>
  <w:style w:type="character" w:styleId="744">
    <w:name w:val="Heading 9 Char"/>
    <w:basedOn w:val="761"/>
    <w:link w:val="760"/>
    <w:uiPriority w:val="9"/>
    <w:rPr>
      <w:rFonts w:ascii="Arial" w:hAnsi="Arial" w:eastAsia="Arial" w:cs="Arial"/>
      <w:i/>
      <w:iCs/>
      <w:sz w:val="21"/>
      <w:szCs w:val="21"/>
    </w:rPr>
  </w:style>
  <w:style w:type="character" w:styleId="745">
    <w:name w:val="Title Char"/>
    <w:basedOn w:val="761"/>
    <w:link w:val="796"/>
    <w:uiPriority w:val="10"/>
    <w:rPr>
      <w:sz w:val="48"/>
      <w:szCs w:val="48"/>
    </w:rPr>
  </w:style>
  <w:style w:type="character" w:styleId="746">
    <w:name w:val="Subtitle Char"/>
    <w:basedOn w:val="761"/>
    <w:link w:val="797"/>
    <w:uiPriority w:val="11"/>
    <w:rPr>
      <w:sz w:val="24"/>
      <w:szCs w:val="24"/>
    </w:rPr>
  </w:style>
  <w:style w:type="character" w:styleId="747">
    <w:name w:val="Quote Char"/>
    <w:link w:val="798"/>
    <w:uiPriority w:val="29"/>
    <w:rPr>
      <w:i/>
    </w:rPr>
  </w:style>
  <w:style w:type="character" w:styleId="748">
    <w:name w:val="Intense Quote Char"/>
    <w:link w:val="799"/>
    <w:uiPriority w:val="30"/>
    <w:rPr>
      <w:i/>
    </w:rPr>
  </w:style>
  <w:style w:type="character" w:styleId="749">
    <w:name w:val="Endnote Text Char"/>
    <w:link w:val="801"/>
    <w:uiPriority w:val="99"/>
    <w:rPr>
      <w:sz w:val="20"/>
    </w:rPr>
  </w:style>
  <w:style w:type="paragraph" w:styleId="750">
    <w:name w:val="toc 2"/>
    <w:basedOn w:val="751"/>
    <w:next w:val="751"/>
    <w:uiPriority w:val="39"/>
    <w:unhideWhenUsed/>
    <w:pPr>
      <w:ind w:left="283" w:right="0" w:firstLine="0"/>
      <w:spacing w:after="57"/>
    </w:pPr>
  </w:style>
  <w:style w:type="paragraph" w:styleId="751" w:default="1">
    <w:name w:val="Normal"/>
    <w:qFormat/>
    <w:pPr>
      <w:jc w:val="left"/>
      <w:spacing w:before="0" w:after="0"/>
      <w:widowControl/>
    </w:pPr>
    <w:rPr>
      <w:rFonts w:ascii="Times New Roman" w:hAnsi="Times New Roman" w:eastAsia="Times New Roman" w:cs="Times New Roman"/>
      <w:color w:val="auto"/>
      <w:sz w:val="24"/>
      <w:szCs w:val="24"/>
      <w:lang w:val="ru-RU" w:eastAsia="ru-RU" w:bidi="ar-SA"/>
    </w:rPr>
  </w:style>
  <w:style w:type="paragraph" w:styleId="752">
    <w:name w:val="Heading 1"/>
    <w:basedOn w:val="751"/>
    <w:next w:val="751"/>
    <w:link w:val="82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753">
    <w:name w:val="Heading 2"/>
    <w:basedOn w:val="751"/>
    <w:next w:val="751"/>
    <w:link w:val="762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754">
    <w:name w:val="Heading 3"/>
    <w:basedOn w:val="751"/>
    <w:next w:val="751"/>
    <w:link w:val="82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55">
    <w:name w:val="Heading 4"/>
    <w:basedOn w:val="751"/>
    <w:next w:val="751"/>
    <w:link w:val="83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56">
    <w:name w:val="Heading 5"/>
    <w:basedOn w:val="751"/>
    <w:next w:val="751"/>
    <w:link w:val="83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</w:rPr>
  </w:style>
  <w:style w:type="paragraph" w:styleId="757">
    <w:name w:val="Heading 6"/>
    <w:basedOn w:val="751"/>
    <w:next w:val="751"/>
    <w:link w:val="76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58">
    <w:name w:val="Heading 7"/>
    <w:basedOn w:val="751"/>
    <w:next w:val="751"/>
    <w:link w:val="76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59">
    <w:name w:val="Heading 8"/>
    <w:basedOn w:val="751"/>
    <w:next w:val="751"/>
    <w:link w:val="76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60">
    <w:name w:val="Heading 9"/>
    <w:basedOn w:val="751"/>
    <w:next w:val="751"/>
    <w:link w:val="766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61" w:default="1">
    <w:name w:val="Default Paragraph Font"/>
    <w:uiPriority w:val="1"/>
    <w:semiHidden/>
    <w:unhideWhenUsed/>
    <w:qFormat/>
  </w:style>
  <w:style w:type="character" w:styleId="762" w:customStyle="1">
    <w:name w:val="Заголовок 2 Знак"/>
    <w:basedOn w:val="761"/>
    <w:uiPriority w:val="9"/>
    <w:qFormat/>
    <w:rPr>
      <w:rFonts w:ascii="Arial" w:hAnsi="Arial" w:eastAsia="Arial" w:cs="Arial"/>
      <w:sz w:val="34"/>
    </w:rPr>
  </w:style>
  <w:style w:type="character" w:styleId="763" w:customStyle="1">
    <w:name w:val="Заголовок 6 Знак"/>
    <w:basedOn w:val="761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764" w:customStyle="1">
    <w:name w:val="Заголовок 7 Знак"/>
    <w:basedOn w:val="761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765" w:customStyle="1">
    <w:name w:val="Заголовок 8 Знак"/>
    <w:basedOn w:val="761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766" w:customStyle="1">
    <w:name w:val="Заголовок 9 Знак"/>
    <w:basedOn w:val="761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767" w:customStyle="1">
    <w:name w:val="Заголовок Знак"/>
    <w:basedOn w:val="761"/>
    <w:uiPriority w:val="10"/>
    <w:qFormat/>
    <w:rPr>
      <w:sz w:val="48"/>
      <w:szCs w:val="48"/>
    </w:rPr>
  </w:style>
  <w:style w:type="character" w:styleId="768" w:customStyle="1">
    <w:name w:val="Подзаголовок Знак"/>
    <w:basedOn w:val="761"/>
    <w:uiPriority w:val="11"/>
    <w:qFormat/>
    <w:rPr>
      <w:sz w:val="24"/>
      <w:szCs w:val="24"/>
    </w:rPr>
  </w:style>
  <w:style w:type="character" w:styleId="769" w:customStyle="1">
    <w:name w:val="Цитата 2 Знак"/>
    <w:link w:val="798"/>
    <w:uiPriority w:val="29"/>
    <w:qFormat/>
    <w:rPr>
      <w:i/>
    </w:rPr>
  </w:style>
  <w:style w:type="character" w:styleId="770" w:customStyle="1">
    <w:name w:val="Выделенная цитата Знак"/>
    <w:link w:val="799"/>
    <w:uiPriority w:val="30"/>
    <w:qFormat/>
    <w:rPr>
      <w:i/>
    </w:rPr>
  </w:style>
  <w:style w:type="character" w:styleId="771" w:customStyle="1">
    <w:name w:val="Header Char"/>
    <w:basedOn w:val="761"/>
    <w:uiPriority w:val="99"/>
    <w:qFormat/>
  </w:style>
  <w:style w:type="character" w:styleId="772" w:customStyle="1">
    <w:name w:val="Footer Char"/>
    <w:basedOn w:val="761"/>
    <w:uiPriority w:val="99"/>
    <w:qFormat/>
  </w:style>
  <w:style w:type="character" w:styleId="773" w:customStyle="1">
    <w:name w:val="Caption Char"/>
    <w:uiPriority w:val="99"/>
    <w:qFormat/>
  </w:style>
  <w:style w:type="character" w:styleId="774" w:customStyle="1">
    <w:name w:val="Footnote Text Char"/>
    <w:uiPriority w:val="99"/>
    <w:qFormat/>
    <w:rPr>
      <w:sz w:val="18"/>
    </w:rPr>
  </w:style>
  <w:style w:type="character" w:styleId="775" w:customStyle="1">
    <w:name w:val="Текст концевой сноски Знак"/>
    <w:uiPriority w:val="99"/>
    <w:qFormat/>
    <w:rPr>
      <w:sz w:val="20"/>
    </w:rPr>
  </w:style>
  <w:style w:type="character" w:styleId="776">
    <w:name w:val="Символ концевой сноски"/>
    <w:basedOn w:val="761"/>
    <w:uiPriority w:val="99"/>
    <w:semiHidden/>
    <w:unhideWhenUsed/>
    <w:qFormat/>
    <w:rPr>
      <w:vertAlign w:val="superscript"/>
    </w:rPr>
  </w:style>
  <w:style w:type="character" w:styleId="777">
    <w:name w:val="endnote reference"/>
    <w:rPr>
      <w:vertAlign w:val="superscript"/>
    </w:rPr>
  </w:style>
  <w:style w:type="character" w:styleId="778">
    <w:name w:val="FollowedHyperlink"/>
    <w:basedOn w:val="761"/>
    <w:uiPriority w:val="99"/>
    <w:unhideWhenUsed/>
    <w:qFormat/>
    <w:rPr>
      <w:color w:val="800080"/>
      <w:u w:val="single"/>
    </w:rPr>
  </w:style>
  <w:style w:type="character" w:styleId="779">
    <w:name w:val="Hyperlink"/>
    <w:basedOn w:val="761"/>
    <w:uiPriority w:val="99"/>
    <w:unhideWhenUsed/>
    <w:qFormat/>
    <w:rPr>
      <w:color w:val="0000ff"/>
      <w:u w:val="single"/>
    </w:rPr>
  </w:style>
  <w:style w:type="character" w:styleId="780">
    <w:name w:val="Strong"/>
    <w:basedOn w:val="761"/>
    <w:qFormat/>
    <w:rPr>
      <w:rFonts w:cs="Times New Roman"/>
      <w:b/>
      <w:bCs/>
    </w:rPr>
  </w:style>
  <w:style w:type="character" w:styleId="781" w:customStyle="1">
    <w:name w:val="Верхний колонтитул Знак"/>
    <w:basedOn w:val="761"/>
    <w:uiPriority w:val="99"/>
    <w:qFormat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782" w:customStyle="1">
    <w:name w:val="Нижний колонтитул Знак"/>
    <w:basedOn w:val="761"/>
    <w:uiPriority w:val="99"/>
    <w:qFormat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783" w:customStyle="1">
    <w:name w:val="10"/>
    <w:basedOn w:val="761"/>
    <w:qFormat/>
    <w:rPr>
      <w:rFonts w:ascii="Times New Roman" w:hAnsi="Times New Roman" w:cs="Times New Roman"/>
    </w:rPr>
  </w:style>
  <w:style w:type="character" w:styleId="784" w:customStyle="1">
    <w:name w:val="15"/>
    <w:basedOn w:val="761"/>
    <w:qFormat/>
    <w:rPr>
      <w:rFonts w:ascii="Times New Roman" w:hAnsi="Times New Roman" w:cs="Times New Roman"/>
      <w:color w:val="0000ff"/>
      <w:u w:val="single"/>
    </w:rPr>
  </w:style>
  <w:style w:type="character" w:styleId="785" w:customStyle="1">
    <w:name w:val="16"/>
    <w:basedOn w:val="761"/>
    <w:qFormat/>
    <w:rPr>
      <w:rFonts w:ascii="Times New Roman" w:hAnsi="Times New Roman" w:cs="Times New Roman"/>
    </w:rPr>
  </w:style>
  <w:style w:type="character" w:styleId="786" w:customStyle="1">
    <w:name w:val="rts-text"/>
    <w:basedOn w:val="761"/>
    <w:qFormat/>
  </w:style>
  <w:style w:type="character" w:styleId="787">
    <w:name w:val="Символ сноски"/>
    <w:qFormat/>
    <w:rPr>
      <w:vertAlign w:val="superscript"/>
    </w:rPr>
  </w:style>
  <w:style w:type="character" w:styleId="788">
    <w:name w:val="footnote reference"/>
    <w:rPr>
      <w:vertAlign w:val="superscript"/>
    </w:rPr>
  </w:style>
  <w:style w:type="character" w:styleId="789" w:customStyle="1">
    <w:name w:val="Текст сноски Знак"/>
    <w:basedOn w:val="761"/>
    <w:qFormat/>
    <w:rPr>
      <w:rFonts w:ascii="Times New Roman" w:hAnsi="Times New Roman" w:eastAsia="Times New Roman" w:cs="Times New Roman"/>
      <w:lang w:eastAsia="zh-CN"/>
    </w:rPr>
  </w:style>
  <w:style w:type="character" w:styleId="790" w:customStyle="1">
    <w:name w:val="Текст выноски Знак"/>
    <w:basedOn w:val="761"/>
    <w:link w:val="823"/>
    <w:uiPriority w:val="99"/>
    <w:semiHidden/>
    <w:qFormat/>
    <w:rPr>
      <w:rFonts w:ascii="Segoe UI" w:hAnsi="Segoe UI" w:eastAsia="Times New Roman" w:cs="Segoe UI"/>
      <w:sz w:val="18"/>
      <w:szCs w:val="18"/>
    </w:rPr>
  </w:style>
  <w:style w:type="paragraph" w:styleId="791">
    <w:name w:val="Заголовок"/>
    <w:basedOn w:val="751"/>
    <w:next w:val="792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792">
    <w:name w:val="Body Text"/>
    <w:basedOn w:val="751"/>
    <w:pPr>
      <w:spacing w:before="0" w:after="140" w:line="276" w:lineRule="auto"/>
    </w:pPr>
  </w:style>
  <w:style w:type="paragraph" w:styleId="793">
    <w:name w:val="List"/>
    <w:basedOn w:val="792"/>
    <w:rPr>
      <w:rFonts w:cs="Mangal"/>
    </w:rPr>
  </w:style>
  <w:style w:type="paragraph" w:styleId="794">
    <w:name w:val="Caption"/>
    <w:basedOn w:val="751"/>
    <w:qFormat/>
    <w:pPr>
      <w:spacing w:before="120" w:after="120"/>
      <w:suppressLineNumbers/>
    </w:pPr>
    <w:rPr>
      <w:rFonts w:cs="Mangal"/>
      <w:i/>
      <w:iCs/>
      <w:sz w:val="24"/>
      <w:szCs w:val="24"/>
    </w:rPr>
  </w:style>
  <w:style w:type="paragraph" w:styleId="795">
    <w:name w:val="Указатель"/>
    <w:basedOn w:val="751"/>
    <w:qFormat/>
    <w:pPr>
      <w:suppressLineNumbers/>
    </w:pPr>
    <w:rPr>
      <w:rFonts w:cs="Mangal"/>
    </w:rPr>
  </w:style>
  <w:style w:type="paragraph" w:styleId="796">
    <w:name w:val="Title"/>
    <w:basedOn w:val="751"/>
    <w:next w:val="751"/>
    <w:link w:val="767"/>
    <w:uiPriority w:val="10"/>
    <w:qFormat/>
    <w:pPr>
      <w:contextualSpacing/>
      <w:spacing w:before="300" w:after="200"/>
    </w:pPr>
    <w:rPr>
      <w:sz w:val="48"/>
      <w:szCs w:val="48"/>
    </w:rPr>
  </w:style>
  <w:style w:type="paragraph" w:styleId="797">
    <w:name w:val="Subtitle"/>
    <w:basedOn w:val="751"/>
    <w:next w:val="751"/>
    <w:link w:val="768"/>
    <w:uiPriority w:val="11"/>
    <w:qFormat/>
    <w:pPr>
      <w:spacing w:before="200" w:after="200"/>
    </w:pPr>
  </w:style>
  <w:style w:type="paragraph" w:styleId="798">
    <w:name w:val="Quote"/>
    <w:basedOn w:val="751"/>
    <w:next w:val="751"/>
    <w:link w:val="769"/>
    <w:uiPriority w:val="29"/>
    <w:qFormat/>
    <w:pPr>
      <w:ind w:left="720" w:right="720" w:firstLine="0"/>
    </w:pPr>
    <w:rPr>
      <w:i/>
    </w:rPr>
  </w:style>
  <w:style w:type="paragraph" w:styleId="799">
    <w:name w:val="Intense Quote"/>
    <w:basedOn w:val="751"/>
    <w:next w:val="751"/>
    <w:link w:val="770"/>
    <w:uiPriority w:val="30"/>
    <w:qFormat/>
    <w:pPr>
      <w:ind w:left="720" w:right="720" w:firstLine="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paragraph" w:styleId="800">
    <w:name w:val="Caption"/>
    <w:basedOn w:val="751"/>
    <w:next w:val="75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paragraph" w:styleId="801">
    <w:name w:val="endnote text"/>
    <w:basedOn w:val="751"/>
    <w:link w:val="775"/>
    <w:uiPriority w:val="99"/>
    <w:semiHidden/>
    <w:unhideWhenUsed/>
    <w:rPr>
      <w:sz w:val="20"/>
    </w:rPr>
  </w:style>
  <w:style w:type="paragraph" w:styleId="802">
    <w:name w:val="toc 1"/>
    <w:basedOn w:val="751"/>
    <w:next w:val="751"/>
    <w:uiPriority w:val="39"/>
    <w:unhideWhenUsed/>
    <w:pPr>
      <w:spacing w:before="0" w:after="57"/>
    </w:pPr>
  </w:style>
  <w:style w:type="paragraph" w:styleId="803">
    <w:name w:val="toc 3"/>
    <w:basedOn w:val="751"/>
    <w:next w:val="751"/>
    <w:uiPriority w:val="39"/>
    <w:unhideWhenUsed/>
    <w:pPr>
      <w:ind w:left="567" w:firstLine="0"/>
      <w:spacing w:before="0" w:after="57"/>
    </w:pPr>
  </w:style>
  <w:style w:type="paragraph" w:styleId="804">
    <w:name w:val="toc 4"/>
    <w:basedOn w:val="751"/>
    <w:next w:val="751"/>
    <w:uiPriority w:val="39"/>
    <w:unhideWhenUsed/>
    <w:pPr>
      <w:ind w:left="850" w:firstLine="0"/>
      <w:spacing w:before="0" w:after="57"/>
    </w:pPr>
  </w:style>
  <w:style w:type="paragraph" w:styleId="805">
    <w:name w:val="toc 5"/>
    <w:basedOn w:val="751"/>
    <w:next w:val="751"/>
    <w:uiPriority w:val="39"/>
    <w:unhideWhenUsed/>
    <w:pPr>
      <w:ind w:left="1134" w:firstLine="0"/>
      <w:spacing w:before="0" w:after="57"/>
    </w:pPr>
  </w:style>
  <w:style w:type="paragraph" w:styleId="806">
    <w:name w:val="toc 6"/>
    <w:basedOn w:val="751"/>
    <w:next w:val="751"/>
    <w:uiPriority w:val="39"/>
    <w:unhideWhenUsed/>
    <w:pPr>
      <w:ind w:left="1417" w:firstLine="0"/>
      <w:spacing w:before="0" w:after="57"/>
    </w:pPr>
  </w:style>
  <w:style w:type="paragraph" w:styleId="807">
    <w:name w:val="toc 7"/>
    <w:basedOn w:val="751"/>
    <w:next w:val="751"/>
    <w:uiPriority w:val="39"/>
    <w:unhideWhenUsed/>
    <w:pPr>
      <w:ind w:left="1701" w:firstLine="0"/>
      <w:spacing w:before="0" w:after="57"/>
    </w:pPr>
  </w:style>
  <w:style w:type="paragraph" w:styleId="808">
    <w:name w:val="toc 8"/>
    <w:basedOn w:val="751"/>
    <w:next w:val="751"/>
    <w:uiPriority w:val="39"/>
    <w:unhideWhenUsed/>
    <w:pPr>
      <w:ind w:left="1984" w:firstLine="0"/>
      <w:spacing w:before="0" w:after="57"/>
    </w:pPr>
  </w:style>
  <w:style w:type="paragraph" w:styleId="809">
    <w:name w:val="toc 9"/>
    <w:basedOn w:val="751"/>
    <w:next w:val="751"/>
    <w:uiPriority w:val="39"/>
    <w:unhideWhenUsed/>
    <w:pPr>
      <w:ind w:left="2268" w:firstLine="0"/>
      <w:spacing w:before="0" w:after="57"/>
    </w:pPr>
  </w:style>
  <w:style w:type="paragraph" w:styleId="810">
    <w:name w:val="Index Heading"/>
    <w:basedOn w:val="791"/>
  </w:style>
  <w:style w:type="paragraph" w:styleId="811">
    <w:name w:val="TOC Heading"/>
    <w:uiPriority w:val="39"/>
    <w:unhideWhenUsed/>
    <w:pPr>
      <w:jc w:val="left"/>
      <w:spacing w:before="0" w:after="0"/>
      <w:widowControl/>
    </w:pPr>
    <w:rPr>
      <w:rFonts w:ascii="Calibri" w:hAnsi="Calibri" w:eastAsia="Calibri" w:cs="Arial" w:asciiTheme="minorHAnsi" w:hAnsiTheme="minorHAnsi" w:eastAsiaTheme="minorHAnsi" w:cstheme="minorBidi"/>
      <w:color w:val="auto"/>
      <w:sz w:val="20"/>
      <w:szCs w:val="20"/>
      <w:lang w:val="ru-RU" w:eastAsia="ru-RU" w:bidi="ar-SA"/>
    </w:rPr>
  </w:style>
  <w:style w:type="paragraph" w:styleId="812">
    <w:name w:val="table of figures"/>
    <w:basedOn w:val="751"/>
    <w:next w:val="751"/>
    <w:uiPriority w:val="99"/>
    <w:unhideWhenUsed/>
    <w:qFormat/>
  </w:style>
  <w:style w:type="paragraph" w:styleId="813">
    <w:name w:val="Body Text Indent 3"/>
    <w:basedOn w:val="751"/>
    <w:uiPriority w:val="99"/>
    <w:unhideWhenUsed/>
    <w:qFormat/>
    <w:pPr>
      <w:ind w:left="283" w:firstLine="0"/>
      <w:spacing w:before="0" w:after="120"/>
    </w:pPr>
    <w:rPr>
      <w:sz w:val="16"/>
      <w:szCs w:val="16"/>
    </w:rPr>
  </w:style>
  <w:style w:type="paragraph" w:styleId="814">
    <w:name w:val="Колонтитул"/>
    <w:basedOn w:val="751"/>
    <w:qFormat/>
  </w:style>
  <w:style w:type="paragraph" w:styleId="815">
    <w:name w:val="Header"/>
    <w:basedOn w:val="751"/>
    <w:link w:val="781"/>
    <w:uiPriority w:val="99"/>
    <w:unhideWhenUsed/>
    <w:qFormat/>
  </w:style>
  <w:style w:type="paragraph" w:styleId="816">
    <w:name w:val="Footer"/>
    <w:basedOn w:val="751"/>
    <w:link w:val="782"/>
    <w:uiPriority w:val="99"/>
    <w:unhideWhenUsed/>
    <w:qFormat/>
  </w:style>
  <w:style w:type="paragraph" w:styleId="817">
    <w:name w:val="Normal (Web)"/>
    <w:basedOn w:val="751"/>
    <w:qFormat/>
    <w:pPr>
      <w:jc w:val="both"/>
      <w:spacing w:beforeAutospacing="1" w:afterAutospacing="1" w:line="360" w:lineRule="auto"/>
    </w:pPr>
    <w:rPr>
      <w:rFonts w:ascii="Verdana" w:hAnsi="Verdana"/>
      <w:color w:val="000000"/>
      <w:sz w:val="18"/>
      <w:szCs w:val="18"/>
    </w:rPr>
  </w:style>
  <w:style w:type="paragraph" w:styleId="818">
    <w:name w:val="No Spacing"/>
    <w:uiPriority w:val="1"/>
    <w:qFormat/>
    <w:pPr>
      <w:jc w:val="left"/>
      <w:spacing w:before="0" w:after="0"/>
      <w:widowControl/>
    </w:pPr>
    <w:rPr>
      <w:rFonts w:ascii="Calibri" w:hAnsi="Calibri" w:eastAsia="Times New Roman" w:cs="Times New Roman" w:asciiTheme="minorHAnsi" w:hAnsiTheme="minorHAnsi"/>
      <w:color w:val="auto"/>
      <w:sz w:val="22"/>
      <w:szCs w:val="22"/>
      <w:lang w:val="ru-RU" w:eastAsia="en-US" w:bidi="ar-SA"/>
    </w:rPr>
  </w:style>
  <w:style w:type="paragraph" w:styleId="819" w:customStyle="1">
    <w:name w:val="rezul"/>
    <w:basedOn w:val="751"/>
    <w:qFormat/>
    <w:pPr>
      <w:ind w:firstLine="283"/>
      <w:jc w:val="both"/>
      <w:widowControl w:val="off"/>
    </w:pPr>
    <w:rPr>
      <w:b/>
      <w:szCs w:val="20"/>
      <w:lang w:val="en-US"/>
    </w:rPr>
  </w:style>
  <w:style w:type="paragraph" w:styleId="820" w:customStyle="1">
    <w:name w:val="Заголов1"/>
    <w:basedOn w:val="751"/>
    <w:uiPriority w:val="99"/>
    <w:qFormat/>
    <w:pPr>
      <w:jc w:val="center"/>
      <w:widowControl w:val="off"/>
    </w:pPr>
    <w:rPr>
      <w:rFonts w:ascii="a_Timer" w:hAnsi="a_Timer" w:cs="a_Timer"/>
      <w:lang w:val="en-US"/>
    </w:rPr>
  </w:style>
  <w:style w:type="paragraph" w:styleId="821">
    <w:name w:val="List Paragraph"/>
    <w:basedOn w:val="751"/>
    <w:uiPriority w:val="99"/>
    <w:qFormat/>
    <w:pPr>
      <w:contextualSpacing/>
      <w:ind w:left="720" w:firstLine="0"/>
      <w:spacing w:before="0" w:after="0"/>
    </w:pPr>
  </w:style>
  <w:style w:type="paragraph" w:styleId="822">
    <w:name w:val="footnote text"/>
    <w:basedOn w:val="751"/>
    <w:link w:val="789"/>
    <w:rPr>
      <w:sz w:val="20"/>
      <w:szCs w:val="20"/>
      <w:lang w:eastAsia="zh-CN"/>
    </w:rPr>
  </w:style>
  <w:style w:type="paragraph" w:styleId="823">
    <w:name w:val="Balloon Text"/>
    <w:basedOn w:val="751"/>
    <w:link w:val="790"/>
    <w:uiPriority w:val="99"/>
    <w:semiHidden/>
    <w:unhideWhenUsed/>
    <w:qFormat/>
    <w:rPr>
      <w:rFonts w:ascii="Segoe UI" w:hAnsi="Segoe UI" w:cs="Segoe UI"/>
      <w:sz w:val="18"/>
      <w:szCs w:val="18"/>
    </w:rPr>
  </w:style>
  <w:style w:type="numbering" w:styleId="824" w:default="1">
    <w:name w:val="No List"/>
    <w:uiPriority w:val="99"/>
    <w:semiHidden/>
    <w:unhideWhenUsed/>
    <w:qFormat/>
  </w:style>
  <w:style w:type="table" w:styleId="825" w:default="1">
    <w:name w:val="Normal Table"/>
    <w:uiPriority w:val="99"/>
    <w:semiHidden/>
    <w:unhideWhenUsed/>
    <w:tblPr>
      <w:tblCellMar>
        <w:left w:w="108" w:type="dxa"/>
        <w:top w:w="0" w:type="dxa"/>
        <w:right w:w="108" w:type="dxa"/>
        <w:bottom w:w="0" w:type="dxa"/>
      </w:tblCellMar>
    </w:tblPr>
  </w:style>
  <w:style w:type="table" w:styleId="826" w:customStyle="1">
    <w:name w:val="Table Grid Light"/>
    <w:basedOn w:val="825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827">
    <w:name w:val="Plain Table 1"/>
    <w:basedOn w:val="825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fill="f2f2f2" w:themeFill="text1" w:themeFillTint="00"/>
      </w:tcPr>
    </w:tblStylePr>
    <w:tblStylePr w:type="band1Vert">
      <w:tcPr>
        <w:shd w:val="clear" w:color="f2f2f2" w:fill="f2f2f2" w:themeFill="text1" w:themeFillTint="0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828">
    <w:name w:val="Plain Table 2"/>
    <w:basedOn w:val="825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829">
    <w:name w:val="Plain Table 3"/>
    <w:basedOn w:val="825"/>
    <w:uiPriority w:val="99"/>
    <w:tblPr>
      <w:tblStyleRowBandSize w:val="1"/>
      <w:tblStyleColBandSize w:val="1"/>
    </w:tblPr>
    <w:tblStylePr w:type="band1Horz">
      <w:rPr>
        <w:color w:val="404040"/>
        <w:sz w:val="22"/>
      </w:rPr>
      <w:tcPr>
        <w:shd w:val="clear" w:color="f2f2f2" w:fill="f2f2f2" w:themeFill="text1" w:themeFillTint="00"/>
      </w:tcPr>
    </w:tblStylePr>
    <w:tblStylePr w:type="band1Vert">
      <w:rPr>
        <w:color w:val="404040"/>
        <w:sz w:val="22"/>
      </w:rPr>
      <w:tcPr>
        <w:shd w:val="clear" w:color="f2f2f2" w:fill="f2f2f2" w:themeFill="text1" w:themeFillTint="00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30">
    <w:name w:val="Plain Table 4"/>
    <w:basedOn w:val="825"/>
    <w:uiPriority w:val="99"/>
    <w:tblPr>
      <w:tblStyleRowBandSize w:val="1"/>
      <w:tblStyleColBandSize w:val="1"/>
    </w:tblPr>
    <w:tblStylePr w:type="band1Horz">
      <w:rPr>
        <w:color w:val="404040"/>
        <w:sz w:val="22"/>
      </w:rPr>
      <w:tcPr>
        <w:shd w:val="clear" w:color="f2f2f2" w:fill="f2f2f2" w:themeFill="text1" w:themeFillTint="00"/>
      </w:tcPr>
    </w:tblStylePr>
    <w:tblStylePr w:type="band1Vert">
      <w:rPr>
        <w:color w:val="404040"/>
        <w:sz w:val="22"/>
      </w:rPr>
      <w:tcPr>
        <w:shd w:val="clear" w:color="f2f2f2" w:fill="f2f2f2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>
    <w:name w:val="Plain Table 5"/>
    <w:basedOn w:val="825"/>
    <w:uiPriority w:val="99"/>
    <w:tblPr>
      <w:tblStyleRowBandSize w:val="1"/>
      <w:tblStyleColBandSize w:val="1"/>
    </w:tblPr>
    <w:tblStylePr w:type="band1Horz">
      <w:rPr>
        <w:color w:val="404040"/>
        <w:sz w:val="22"/>
      </w:rPr>
      <w:tcPr>
        <w:shd w:val="clear" w:color="f2f2f2" w:fill="f2f2f2" w:themeFill="text1" w:themeFillTint="00"/>
      </w:tcPr>
    </w:tblStylePr>
    <w:tblStylePr w:type="band1Vert">
      <w:rPr>
        <w:color w:val="404040"/>
        <w:sz w:val="22"/>
      </w:rPr>
      <w:tcPr>
        <w:shd w:val="clear" w:color="f2f2f2" w:fill="f2f2f2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32">
    <w:name w:val="Grid Table 1 Light"/>
    <w:basedOn w:val="825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989898" w:themeColor="text1" w:sz="4" w:space="0"/>
          <w:left w:val="single" w:color="989898" w:themeColor="text1" w:sz="4" w:space="0"/>
          <w:bottom w:val="single" w:color="989898" w:themeColor="text1" w:sz="4" w:space="0"/>
          <w:right w:val="single" w:color="989898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 w:customStyle="1">
    <w:name w:val="Grid Table 1 Light - Accent 1"/>
    <w:basedOn w:val="825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B7CBE4" w:themeColor="accent1" w:sz="4" w:space="0"/>
          <w:left w:val="single" w:color="B7CBE4" w:themeColor="accent1" w:sz="4" w:space="0"/>
          <w:bottom w:val="single" w:color="B7CBE4" w:themeColor="accent1" w:sz="4" w:space="0"/>
          <w:right w:val="single" w:color="B7CBE4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 w:customStyle="1">
    <w:name w:val="Grid Table 1 Light - Accent 2"/>
    <w:basedOn w:val="825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E5B7B6" w:themeColor="accent2" w:sz="4" w:space="0"/>
          <w:left w:val="single" w:color="E5B7B6" w:themeColor="accent2" w:sz="4" w:space="0"/>
          <w:bottom w:val="single" w:color="E5B7B6" w:themeColor="accent2" w:sz="4" w:space="0"/>
          <w:right w:val="single" w:color="E5B7B6" w:themeColor="accent2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 w:customStyle="1">
    <w:name w:val="Grid Table 1 Light - Accent 3"/>
    <w:basedOn w:val="825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D6E3BB" w:themeColor="accent3" w:sz="4" w:space="0"/>
          <w:left w:val="single" w:color="D6E3BB" w:themeColor="accent3" w:sz="4" w:space="0"/>
          <w:bottom w:val="single" w:color="D6E3BB" w:themeColor="accent3" w:sz="4" w:space="0"/>
          <w:right w:val="single" w:color="D6E3BB" w:themeColor="accent3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 w:customStyle="1">
    <w:name w:val="Grid Table 1 Light - Accent 4"/>
    <w:basedOn w:val="825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CBC0D9" w:themeColor="accent4" w:sz="4" w:space="0"/>
          <w:left w:val="single" w:color="CBC0D9" w:themeColor="accent4" w:sz="4" w:space="0"/>
          <w:bottom w:val="single" w:color="CBC0D9" w:themeColor="accent4" w:sz="4" w:space="0"/>
          <w:right w:val="single" w:color="CBC0D9" w:themeColor="accent4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 w:customStyle="1">
    <w:name w:val="Grid Table 1 Light - Accent 5"/>
    <w:basedOn w:val="825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B6DDE8" w:themeColor="accent5" w:sz="4" w:space="0"/>
          <w:left w:val="single" w:color="B6DDE8" w:themeColor="accent5" w:sz="4" w:space="0"/>
          <w:bottom w:val="single" w:color="B6DDE8" w:themeColor="accent5" w:sz="4" w:space="0"/>
          <w:right w:val="single" w:color="B6DDE8" w:themeColor="accent5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 w:customStyle="1">
    <w:name w:val="Grid Table 1 Light - Accent 6"/>
    <w:basedOn w:val="825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FBD4B4" w:themeColor="accent6" w:sz="4" w:space="0"/>
          <w:left w:val="single" w:color="FBD4B4" w:themeColor="accent6" w:sz="4" w:space="0"/>
          <w:bottom w:val="single" w:color="FBD4B4" w:themeColor="accent6" w:sz="4" w:space="0"/>
          <w:right w:val="single" w:color="FBD4B4" w:themeColor="accent6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>
    <w:name w:val="Grid Table 2"/>
    <w:basedOn w:val="825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color w:val="404040"/>
        <w:sz w:val="22"/>
      </w:rPr>
      <w:tcPr>
        <w:shd w:val="clear" w:color="cbcbcb" w:fill="cbcbcb" w:themeFill="text1" w:themeFillTint="34"/>
      </w:tcPr>
    </w:tblStylePr>
    <w:tblStylePr w:type="band1Vert">
      <w:rPr>
        <w:color w:val="404040"/>
        <w:sz w:val="22"/>
      </w:rPr>
      <w:tcPr>
        <w:shd w:val="clear" w:color="cbcbcb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0" w:customStyle="1">
    <w:name w:val="Grid Table 2 - Accent 1"/>
    <w:basedOn w:val="825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color w:val="404040"/>
        <w:sz w:val="22"/>
      </w:rPr>
      <w:tcPr>
        <w:shd w:val="clear" w:color="dae5f1" w:fill="dae5f1" w:themeFill="accent1" w:themeFillTint="34"/>
      </w:tcPr>
    </w:tblStylePr>
    <w:tblStylePr w:type="band1Vert">
      <w:rPr>
        <w:color w:val="404040"/>
        <w:sz w:val="22"/>
      </w:rPr>
      <w:tcPr>
        <w:shd w:val="clear" w:color="dae5f1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1" w:customStyle="1">
    <w:name w:val="Grid Table 2 - Accent 2"/>
    <w:basedOn w:val="825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color w:val="404040"/>
        <w:sz w:val="22"/>
      </w:rPr>
      <w:tcPr>
        <w:shd w:val="clear" w:color="f2dcdc" w:fill="f2dcdc" w:themeFill="accent2" w:themeFillTint="32"/>
      </w:tcPr>
    </w:tblStylePr>
    <w:tblStylePr w:type="band1Vert">
      <w:rPr>
        <w:color w:val="404040"/>
        <w:sz w:val="22"/>
      </w:rPr>
      <w:tcPr>
        <w:shd w:val="clear" w:color="f2dcdc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2" w:customStyle="1">
    <w:name w:val="Grid Table 2 - Accent 3"/>
    <w:basedOn w:val="825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color w:val="404040"/>
        <w:sz w:val="22"/>
      </w:rPr>
      <w:tcPr>
        <w:shd w:val="clear" w:color="eaf1dc" w:fill="eaf1dc" w:themeFill="accent3" w:themeFillTint="34"/>
      </w:tcPr>
    </w:tblStylePr>
    <w:tblStylePr w:type="band1Vert">
      <w:rPr>
        <w:color w:val="404040"/>
        <w:sz w:val="22"/>
      </w:rPr>
      <w:tcPr>
        <w:shd w:val="clear" w:color="eaf1dc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3" w:customStyle="1">
    <w:name w:val="Grid Table 2 - Accent 4"/>
    <w:basedOn w:val="825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color w:val="404040"/>
        <w:sz w:val="22"/>
      </w:rPr>
      <w:tcPr>
        <w:shd w:val="clear" w:color="e5dfec" w:fill="e5dfec" w:themeFill="accent4" w:themeFillTint="34"/>
      </w:tcPr>
    </w:tblStylePr>
    <w:tblStylePr w:type="band1Vert">
      <w:rPr>
        <w:color w:val="404040"/>
        <w:sz w:val="22"/>
      </w:rPr>
      <w:tcPr>
        <w:shd w:val="clear" w:color="e5dfec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4" w:customStyle="1">
    <w:name w:val="Grid Table 2 - Accent 5"/>
    <w:basedOn w:val="825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color w:val="404040"/>
        <w:sz w:val="22"/>
      </w:rPr>
      <w:tcPr>
        <w:shd w:val="clear" w:color="daeef3" w:fill="daeef3" w:themeFill="accent5" w:themeFillTint="34"/>
      </w:tcPr>
    </w:tblStylePr>
    <w:tblStylePr w:type="band1Vert">
      <w:rPr>
        <w:color w:val="404040"/>
        <w:sz w:val="22"/>
      </w:rPr>
      <w:tcPr>
        <w:shd w:val="clear" w:color="daeef3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5" w:customStyle="1">
    <w:name w:val="Grid Table 2 - Accent 6"/>
    <w:basedOn w:val="825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color w:val="404040"/>
        <w:sz w:val="22"/>
      </w:rPr>
      <w:tcPr>
        <w:shd w:val="clear" w:color="fde9d8" w:fill="fde9d8" w:themeFill="accent6" w:themeFillTint="34"/>
      </w:tcPr>
    </w:tblStylePr>
    <w:tblStylePr w:type="band1Vert">
      <w:rPr>
        <w:color w:val="404040"/>
        <w:sz w:val="22"/>
      </w:rPr>
      <w:tcPr>
        <w:shd w:val="clear" w:color="fde9d8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6">
    <w:name w:val="Grid Table 3"/>
    <w:basedOn w:val="825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color w:val="404040"/>
        <w:sz w:val="22"/>
      </w:rPr>
      <w:tcPr>
        <w:shd w:val="clear" w:color="cbcbcb" w:fill="cbcbcb" w:themeFill="text1" w:themeFillTint="34"/>
      </w:tcPr>
    </w:tblStylePr>
    <w:tblStylePr w:type="band1Vert">
      <w:rPr>
        <w:color w:val="404040"/>
        <w:sz w:val="22"/>
      </w:rPr>
      <w:tcPr>
        <w:shd w:val="clear" w:color="cbcbcb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7" w:customStyle="1">
    <w:name w:val="Grid Table 3 - Accent 1"/>
    <w:basedOn w:val="825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color w:val="404040"/>
        <w:sz w:val="22"/>
      </w:rPr>
      <w:tcPr>
        <w:shd w:val="clear" w:color="dae5f1" w:fill="dae5f1" w:themeFill="accent1" w:themeFillTint="34"/>
      </w:tcPr>
    </w:tblStylePr>
    <w:tblStylePr w:type="band1Vert">
      <w:rPr>
        <w:color w:val="404040"/>
        <w:sz w:val="22"/>
      </w:rPr>
      <w:tcPr>
        <w:shd w:val="clear" w:color="dae5f1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8" w:customStyle="1">
    <w:name w:val="Grid Table 3 - Accent 2"/>
    <w:basedOn w:val="825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color w:val="404040"/>
        <w:sz w:val="22"/>
      </w:rPr>
      <w:tcPr>
        <w:shd w:val="clear" w:color="f2dcdc" w:fill="f2dcdc" w:themeFill="accent2" w:themeFillTint="32"/>
      </w:tcPr>
    </w:tblStylePr>
    <w:tblStylePr w:type="band1Vert">
      <w:rPr>
        <w:color w:val="404040"/>
        <w:sz w:val="22"/>
      </w:rPr>
      <w:tcPr>
        <w:shd w:val="clear" w:color="f2dcdc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9" w:customStyle="1">
    <w:name w:val="Grid Table 3 - Accent 3"/>
    <w:basedOn w:val="825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color w:val="404040"/>
        <w:sz w:val="22"/>
      </w:rPr>
      <w:tcPr>
        <w:shd w:val="clear" w:color="eaf1dc" w:fill="eaf1dc" w:themeFill="accent3" w:themeFillTint="34"/>
      </w:tcPr>
    </w:tblStylePr>
    <w:tblStylePr w:type="band1Vert">
      <w:rPr>
        <w:color w:val="404040"/>
        <w:sz w:val="22"/>
      </w:rPr>
      <w:tcPr>
        <w:shd w:val="clear" w:color="eaf1dc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0" w:customStyle="1">
    <w:name w:val="Grid Table 3 - Accent 4"/>
    <w:basedOn w:val="825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color w:val="404040"/>
        <w:sz w:val="22"/>
      </w:rPr>
      <w:tcPr>
        <w:shd w:val="clear" w:color="e5dfec" w:fill="e5dfec" w:themeFill="accent4" w:themeFillTint="34"/>
      </w:tcPr>
    </w:tblStylePr>
    <w:tblStylePr w:type="band1Vert">
      <w:rPr>
        <w:color w:val="404040"/>
        <w:sz w:val="22"/>
      </w:rPr>
      <w:tcPr>
        <w:shd w:val="clear" w:color="e5dfec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1" w:customStyle="1">
    <w:name w:val="Grid Table 3 - Accent 5"/>
    <w:basedOn w:val="825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color w:val="404040"/>
        <w:sz w:val="22"/>
      </w:rPr>
      <w:tcPr>
        <w:shd w:val="clear" w:color="daeef3" w:fill="daeef3" w:themeFill="accent5" w:themeFillTint="34"/>
      </w:tcPr>
    </w:tblStylePr>
    <w:tblStylePr w:type="band1Vert">
      <w:rPr>
        <w:color w:val="404040"/>
        <w:sz w:val="22"/>
      </w:rPr>
      <w:tcPr>
        <w:shd w:val="clear" w:color="daeef3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2" w:customStyle="1">
    <w:name w:val="Grid Table 3 - Accent 6"/>
    <w:basedOn w:val="825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color w:val="404040"/>
        <w:sz w:val="22"/>
      </w:rPr>
      <w:tcPr>
        <w:shd w:val="clear" w:color="fde9d8" w:fill="fde9d8" w:themeFill="accent6" w:themeFillTint="34"/>
      </w:tcPr>
    </w:tblStylePr>
    <w:tblStylePr w:type="band1Vert">
      <w:rPr>
        <w:color w:val="404040"/>
        <w:sz w:val="22"/>
      </w:rPr>
      <w:tcPr>
        <w:shd w:val="clear" w:color="fde9d8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3">
    <w:name w:val="Grid Table 4"/>
    <w:basedOn w:val="825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color w:val="404040"/>
        <w:sz w:val="22"/>
      </w:rPr>
      <w:tcPr>
        <w:shd w:val="clear" w:color="cbcbcb" w:fill="cbcbcb" w:themeFill="text1" w:themeFillTint="34"/>
      </w:tcPr>
    </w:tblStylePr>
    <w:tblStylePr w:type="band1Vert">
      <w:rPr>
        <w:color w:val="404040"/>
        <w:sz w:val="22"/>
      </w:rPr>
      <w:tcPr>
        <w:shd w:val="clear" w:color="cbcbcb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000000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54" w:customStyle="1">
    <w:name w:val="Grid Table 4 - Accent 1"/>
    <w:basedOn w:val="825"/>
    <w:uiPriority w:val="5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color w:val="404040"/>
        <w:sz w:val="22"/>
      </w:rPr>
      <w:tcPr>
        <w:shd w:val="clear" w:color="dce6f2" w:fill="dce6f2" w:themeFill="accent1" w:themeFillTint="32"/>
      </w:tcPr>
    </w:tblStylePr>
    <w:tblStylePr w:type="band1Vert">
      <w:rPr>
        <w:color w:val="404040"/>
        <w:sz w:val="22"/>
      </w:rPr>
      <w:tcPr>
        <w:shd w:val="clear" w:color="dce6f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5d8ac2" w:fill="5d8ac2" w:themeFill="accent1" w:themeFillTint="EA"/>
        <w:tcBorders>
          <w:top w:val="single" w:color="5D8AC2" w:themeColor="accent1" w:sz="4" w:space="0"/>
          <w:left w:val="single" w:color="5D8AC2" w:themeColor="accent1" w:sz="4" w:space="0"/>
          <w:bottom w:val="single" w:color="5D8AC2" w:themeColor="accent1" w:sz="4" w:space="0"/>
          <w:right w:val="single" w:color="5D8AC2" w:themeColor="accen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sz="4" w:space="0"/>
        </w:tcBorders>
      </w:tcPr>
    </w:tblStylePr>
  </w:style>
  <w:style w:type="table" w:styleId="855" w:customStyle="1">
    <w:name w:val="Grid Table 4 - Accent 2"/>
    <w:basedOn w:val="825"/>
    <w:uiPriority w:val="5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color w:val="404040"/>
        <w:sz w:val="22"/>
      </w:rPr>
      <w:tcPr>
        <w:shd w:val="clear" w:color="f2dcdc" w:fill="f2dcdc" w:themeFill="accent2" w:themeFillTint="32"/>
      </w:tcPr>
    </w:tblStylePr>
    <w:tblStylePr w:type="band1Vert">
      <w:rPr>
        <w:color w:val="404040"/>
        <w:sz w:val="22"/>
      </w:rPr>
      <w:tcPr>
        <w:shd w:val="clear" w:color="f2dcdc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d99695" w:fill="d99695" w:themeFill="accent2" w:themeFillTint="97"/>
        <w:tcBorders>
          <w:top w:val="single" w:color="D99695" w:themeColor="accent2" w:sz="4" w:space="0"/>
          <w:left w:val="single" w:color="D99695" w:themeColor="accent2" w:sz="4" w:space="0"/>
          <w:bottom w:val="single" w:color="D99695" w:themeColor="accent2" w:sz="4" w:space="0"/>
          <w:right w:val="single" w:color="D99695" w:themeColor="accent2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sz="4" w:space="0"/>
        </w:tcBorders>
      </w:tcPr>
    </w:tblStylePr>
  </w:style>
  <w:style w:type="table" w:styleId="856" w:customStyle="1">
    <w:name w:val="Grid Table 4 - Accent 3"/>
    <w:basedOn w:val="825"/>
    <w:uiPriority w:val="5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color w:val="404040"/>
        <w:sz w:val="22"/>
      </w:rPr>
      <w:tcPr>
        <w:shd w:val="clear" w:color="eaf1dc" w:fill="eaf1dc" w:themeFill="accent3" w:themeFillTint="34"/>
      </w:tcPr>
    </w:tblStylePr>
    <w:tblStylePr w:type="band1Vert">
      <w:rPr>
        <w:color w:val="404040"/>
        <w:sz w:val="22"/>
      </w:rPr>
      <w:tcPr>
        <w:shd w:val="clear" w:color="eaf1dc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9abb59" w:fill="9abb59" w:themeFill="accent3" w:themeFillTint="FE"/>
        <w:tcBorders>
          <w:top w:val="single" w:color="9ABB59" w:themeColor="accent3" w:sz="4" w:space="0"/>
          <w:left w:val="single" w:color="9ABB59" w:themeColor="accent3" w:sz="4" w:space="0"/>
          <w:bottom w:val="single" w:color="9ABB59" w:themeColor="accent3" w:sz="4" w:space="0"/>
          <w:right w:val="single" w:color="9ABB59" w:themeColor="accent3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sz="4" w:space="0"/>
        </w:tcBorders>
      </w:tcPr>
    </w:tblStylePr>
  </w:style>
  <w:style w:type="table" w:styleId="857" w:customStyle="1">
    <w:name w:val="Grid Table 4 - Accent 4"/>
    <w:basedOn w:val="825"/>
    <w:uiPriority w:val="5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color w:val="404040"/>
        <w:sz w:val="22"/>
      </w:rPr>
      <w:tcPr>
        <w:shd w:val="clear" w:color="e5dfec" w:fill="e5dfec" w:themeFill="accent4" w:themeFillTint="34"/>
      </w:tcPr>
    </w:tblStylePr>
    <w:tblStylePr w:type="band1Vert">
      <w:rPr>
        <w:color w:val="404040"/>
        <w:sz w:val="22"/>
      </w:rPr>
      <w:tcPr>
        <w:shd w:val="clear" w:color="e5dfec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b2a1c6" w:fill="b2a1c6" w:themeFill="accent4" w:themeFillTint="9A"/>
        <w:tcBorders>
          <w:top w:val="single" w:color="B2A1C6" w:themeColor="accent4" w:sz="4" w:space="0"/>
          <w:left w:val="single" w:color="B2A1C6" w:themeColor="accent4" w:sz="4" w:space="0"/>
          <w:bottom w:val="single" w:color="B2A1C6" w:themeColor="accent4" w:sz="4" w:space="0"/>
          <w:right w:val="single" w:color="B2A1C6" w:themeColor="accent4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sz="4" w:space="0"/>
        </w:tcBorders>
      </w:tcPr>
    </w:tblStylePr>
  </w:style>
  <w:style w:type="table" w:styleId="858" w:customStyle="1">
    <w:name w:val="Grid Table 4 - Accent 5"/>
    <w:basedOn w:val="825"/>
    <w:uiPriority w:val="5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color w:val="404040"/>
        <w:sz w:val="22"/>
      </w:rPr>
      <w:tcPr>
        <w:shd w:val="clear" w:color="daeef3" w:fill="daeef3" w:themeFill="accent5" w:themeFillTint="34"/>
      </w:tcPr>
    </w:tblStylePr>
    <w:tblStylePr w:type="band1Vert">
      <w:rPr>
        <w:color w:val="404040"/>
        <w:sz w:val="22"/>
      </w:rPr>
      <w:tcPr>
        <w:shd w:val="clear" w:color="daeef3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4bacc6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859" w:customStyle="1">
    <w:name w:val="Grid Table 4 - Accent 6"/>
    <w:basedOn w:val="825"/>
    <w:uiPriority w:val="5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color w:val="404040"/>
        <w:sz w:val="22"/>
      </w:rPr>
      <w:tcPr>
        <w:shd w:val="clear" w:color="fde9d8" w:fill="fde9d8" w:themeFill="accent6" w:themeFillTint="34"/>
      </w:tcPr>
    </w:tblStylePr>
    <w:tblStylePr w:type="band1Vert">
      <w:rPr>
        <w:color w:val="404040"/>
        <w:sz w:val="22"/>
      </w:rPr>
      <w:tcPr>
        <w:shd w:val="clear" w:color="fde9d8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7964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860">
    <w:name w:val="Grid Table 5 Dark"/>
    <w:basedOn w:val="825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8a8a8a" w:fill="8a8a8a" w:themeFill="text1" w:themeFillTint="75"/>
      </w:tcPr>
    </w:tblStylePr>
    <w:tblStylePr w:type="band1Vert">
      <w:tcPr>
        <w:shd w:val="clear" w:color="8a8a8a" w:fill="8a8a8a" w:themeFill="text1" w:themeFillTint="75"/>
      </w:tcPr>
    </w:tblStylePr>
    <w:tblStylePr w:type="firstCol">
      <w:rPr>
        <w:b/>
        <w:color w:val="ffffff"/>
        <w:sz w:val="22"/>
      </w:rPr>
      <w:tcPr>
        <w:shd w:val="clear" w:color="000000" w:fill="000000" w:themeFill="text1"/>
      </w:tcPr>
    </w:tblStylePr>
    <w:tblStylePr w:type="firstRow">
      <w:rPr>
        <w:b/>
        <w:color w:val="ffffff"/>
        <w:sz w:val="22"/>
      </w:rPr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cPr>
        <w:shd w:val="clear" w:color="000000" w:fill="000000" w:themeFill="text1"/>
        <w:tcBorders>
          <w:top w:val="single" w:color="FFFFFF" w:themeColor="light1" w:sz="4" w:space="0"/>
        </w:tcBorders>
      </w:tcPr>
    </w:tblStylePr>
  </w:style>
  <w:style w:type="table" w:styleId="861" w:customStyle="1">
    <w:name w:val="Grid Table 5 Dark- Accent 1"/>
    <w:basedOn w:val="825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aec4e0" w:fill="aec4e0" w:themeFill="accent1" w:themeFillTint="75"/>
      </w:tcPr>
    </w:tblStylePr>
    <w:tblStylePr w:type="band1Vert">
      <w:tcPr>
        <w:shd w:val="clear" w:color="aec4e0" w:fill="aec4e0" w:themeFill="accent1" w:themeFillTint="75"/>
      </w:tcPr>
    </w:tblStylePr>
    <w:tblStylePr w:type="firstCol">
      <w:rPr>
        <w:b/>
        <w:color w:val="ffffff"/>
        <w:sz w:val="22"/>
      </w:rPr>
      <w:tcPr>
        <w:shd w:val="clear" w:color="4f81bd" w:fill="4f81bd" w:themeFill="accent1"/>
      </w:tcPr>
    </w:tblStylePr>
    <w:tblStylePr w:type="firstRow">
      <w:rPr>
        <w:b/>
        <w:color w:val="ffffff"/>
        <w:sz w:val="22"/>
      </w:rPr>
      <w:tcPr>
        <w:shd w:val="clear" w:color="4f81bd" w:fill="4f81bd" w:themeFill="accent1"/>
      </w:tcPr>
    </w:tblStylePr>
    <w:tblStylePr w:type="lastCol">
      <w:rPr>
        <w:b/>
        <w:color w:val="ffffff"/>
        <w:sz w:val="22"/>
      </w:rPr>
      <w:tcPr>
        <w:shd w:val="clear" w:color="4f81bd" w:fill="4f81bd" w:themeFill="accent1"/>
      </w:tcPr>
    </w:tblStylePr>
    <w:tblStylePr w:type="lastRow">
      <w:rPr>
        <w:b/>
        <w:color w:val="ffffff"/>
        <w:sz w:val="22"/>
      </w:rPr>
      <w:tcPr>
        <w:shd w:val="clear" w:color="4f81bd" w:fill="4f81bd" w:themeFill="accent1"/>
        <w:tcBorders>
          <w:top w:val="single" w:color="FFFFFF" w:themeColor="light1" w:sz="4" w:space="0"/>
        </w:tcBorders>
      </w:tcPr>
    </w:tblStylePr>
  </w:style>
  <w:style w:type="table" w:styleId="862" w:customStyle="1">
    <w:name w:val="Grid Table 5 Dark - Accent 2"/>
    <w:basedOn w:val="825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e2aead" w:fill="e2aead" w:themeFill="accent2" w:themeFillTint="75"/>
      </w:tcPr>
    </w:tblStylePr>
    <w:tblStylePr w:type="band1Vert">
      <w:tcPr>
        <w:shd w:val="clear" w:color="e2aead" w:fill="e2aead" w:themeFill="accent2" w:themeFillTint="75"/>
      </w:tcPr>
    </w:tblStylePr>
    <w:tblStylePr w:type="firstCol">
      <w:rPr>
        <w:b/>
        <w:color w:val="ffffff"/>
        <w:sz w:val="22"/>
      </w:rPr>
      <w:tcPr>
        <w:shd w:val="clear" w:color="c0504d" w:fill="c0504d" w:themeFill="accent2"/>
      </w:tcPr>
    </w:tblStylePr>
    <w:tblStylePr w:type="firstRow">
      <w:rPr>
        <w:b/>
        <w:color w:val="ffffff"/>
        <w:sz w:val="22"/>
      </w:rPr>
      <w:tcPr>
        <w:shd w:val="clear" w:color="c0504d" w:fill="c0504d" w:themeFill="accent2"/>
      </w:tcPr>
    </w:tblStylePr>
    <w:tblStylePr w:type="lastCol">
      <w:rPr>
        <w:b/>
        <w:color w:val="ffffff"/>
        <w:sz w:val="22"/>
      </w:rPr>
      <w:tcPr>
        <w:shd w:val="clear" w:color="c0504d" w:fill="c0504d" w:themeFill="accent2"/>
      </w:tcPr>
    </w:tblStylePr>
    <w:tblStylePr w:type="lastRow">
      <w:rPr>
        <w:b/>
        <w:color w:val="ffffff"/>
        <w:sz w:val="22"/>
      </w:rPr>
      <w:tcPr>
        <w:shd w:val="clear" w:color="c0504d" w:fill="c0504d" w:themeFill="accent2"/>
        <w:tcBorders>
          <w:top w:val="single" w:color="FFFFFF" w:themeColor="light1" w:sz="4" w:space="0"/>
        </w:tcBorders>
      </w:tcPr>
    </w:tblStylePr>
  </w:style>
  <w:style w:type="table" w:styleId="863" w:customStyle="1">
    <w:name w:val="Grid Table 5 Dark - Accent 3"/>
    <w:basedOn w:val="825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d0dfb2" w:fill="d0dfb2" w:themeFill="accent3" w:themeFillTint="75"/>
      </w:tcPr>
    </w:tblStylePr>
    <w:tblStylePr w:type="band1Vert">
      <w:tcPr>
        <w:shd w:val="clear" w:color="d0dfb2" w:fill="d0dfb2" w:themeFill="accent3" w:themeFillTint="75"/>
      </w:tcPr>
    </w:tblStylePr>
    <w:tblStylePr w:type="firstCol">
      <w:rPr>
        <w:b/>
        <w:color w:val="ffffff"/>
        <w:sz w:val="22"/>
      </w:rPr>
      <w:tcPr>
        <w:shd w:val="clear" w:color="9bbb59" w:fill="9bbb59" w:themeFill="accent3"/>
      </w:tcPr>
    </w:tblStylePr>
    <w:tblStylePr w:type="firstRow">
      <w:rPr>
        <w:b/>
        <w:color w:val="ffffff"/>
        <w:sz w:val="22"/>
      </w:rPr>
      <w:tcPr>
        <w:shd w:val="clear" w:color="9bbb59" w:fill="9bbb59" w:themeFill="accent3"/>
      </w:tcPr>
    </w:tblStylePr>
    <w:tblStylePr w:type="lastCol">
      <w:rPr>
        <w:b/>
        <w:color w:val="ffffff"/>
        <w:sz w:val="22"/>
      </w:rPr>
      <w:tcPr>
        <w:shd w:val="clear" w:color="9bbb59" w:fill="9bbb59" w:themeFill="accent3"/>
      </w:tcPr>
    </w:tblStylePr>
    <w:tblStylePr w:type="lastRow">
      <w:rPr>
        <w:b/>
        <w:color w:val="ffffff"/>
        <w:sz w:val="22"/>
      </w:rPr>
      <w:tcPr>
        <w:shd w:val="clear" w:color="9bbb59" w:fill="9bbb59" w:themeFill="accent3"/>
        <w:tcBorders>
          <w:top w:val="single" w:color="FFFFFF" w:themeColor="light1" w:sz="4" w:space="0"/>
        </w:tcBorders>
      </w:tcPr>
    </w:tblStylePr>
  </w:style>
  <w:style w:type="table" w:styleId="864" w:customStyle="1">
    <w:name w:val="Grid Table 5 Dark- Accent 4"/>
    <w:basedOn w:val="825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c4b7d4" w:fill="c4b7d4" w:themeFill="accent4" w:themeFillTint="75"/>
      </w:tcPr>
    </w:tblStylePr>
    <w:tblStylePr w:type="band1Vert">
      <w:tcPr>
        <w:shd w:val="clear" w:color="c4b7d4" w:fill="c4b7d4" w:themeFill="accent4" w:themeFillTint="75"/>
      </w:tcPr>
    </w:tblStylePr>
    <w:tblStylePr w:type="firstCol">
      <w:rPr>
        <w:b/>
        <w:color w:val="ffffff"/>
        <w:sz w:val="22"/>
      </w:rPr>
      <w:tcPr>
        <w:shd w:val="clear" w:color="8064a2" w:fill="8064a2" w:themeFill="accent4"/>
      </w:tcPr>
    </w:tblStylePr>
    <w:tblStylePr w:type="firstRow">
      <w:rPr>
        <w:b/>
        <w:color w:val="ffffff"/>
        <w:sz w:val="22"/>
      </w:rPr>
      <w:tcPr>
        <w:shd w:val="clear" w:color="8064a2" w:fill="8064a2" w:themeFill="accent4"/>
      </w:tcPr>
    </w:tblStylePr>
    <w:tblStylePr w:type="lastCol">
      <w:rPr>
        <w:b/>
        <w:color w:val="ffffff"/>
        <w:sz w:val="22"/>
      </w:rPr>
      <w:tcPr>
        <w:shd w:val="clear" w:color="8064a2" w:fill="8064a2" w:themeFill="accent4"/>
      </w:tcPr>
    </w:tblStylePr>
    <w:tblStylePr w:type="lastRow">
      <w:rPr>
        <w:b/>
        <w:color w:val="ffffff"/>
        <w:sz w:val="22"/>
      </w:rPr>
      <w:tcPr>
        <w:shd w:val="clear" w:color="8064a2" w:fill="8064a2" w:themeFill="accent4"/>
        <w:tcBorders>
          <w:top w:val="single" w:color="FFFFFF" w:themeColor="light1" w:sz="4" w:space="0"/>
        </w:tcBorders>
      </w:tcPr>
    </w:tblStylePr>
  </w:style>
  <w:style w:type="table" w:styleId="865" w:customStyle="1">
    <w:name w:val="Grid Table 5 Dark - Accent 5"/>
    <w:basedOn w:val="825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acd8e4" w:fill="acd8e4" w:themeFill="accent5" w:themeFillTint="75"/>
      </w:tcPr>
    </w:tblStylePr>
    <w:tblStylePr w:type="band1Vert">
      <w:tcPr>
        <w:shd w:val="clear" w:color="acd8e4" w:fill="acd8e4" w:themeFill="accent5" w:themeFillTint="75"/>
      </w:tcPr>
    </w:tblStylePr>
    <w:tblStylePr w:type="firstCol">
      <w:rPr>
        <w:b/>
        <w:color w:val="ffffff"/>
        <w:sz w:val="22"/>
      </w:rPr>
      <w:tcPr>
        <w:shd w:val="clear" w:color="4bacc6" w:fill="4bacc6" w:themeFill="accent5"/>
      </w:tcPr>
    </w:tblStylePr>
    <w:tblStylePr w:type="firstRow">
      <w:rPr>
        <w:b/>
        <w:color w:val="ffffff"/>
        <w:sz w:val="22"/>
      </w:rPr>
      <w:tcPr>
        <w:shd w:val="clear" w:color="4bacc6" w:fill="4bacc6" w:themeFill="accent5"/>
      </w:tcPr>
    </w:tblStylePr>
    <w:tblStylePr w:type="lastCol">
      <w:rPr>
        <w:b/>
        <w:color w:val="ffffff"/>
        <w:sz w:val="22"/>
      </w:rPr>
      <w:tcPr>
        <w:shd w:val="clear" w:color="4bacc6" w:fill="4bacc6" w:themeFill="accent5"/>
      </w:tcPr>
    </w:tblStylePr>
    <w:tblStylePr w:type="lastRow">
      <w:rPr>
        <w:b/>
        <w:color w:val="ffffff"/>
        <w:sz w:val="22"/>
      </w:rPr>
      <w:tcPr>
        <w:shd w:val="clear" w:color="4bacc6" w:fill="4bacc6" w:themeFill="accent5"/>
        <w:tcBorders>
          <w:top w:val="single" w:color="FFFFFF" w:themeColor="light1" w:sz="4" w:space="0"/>
        </w:tcBorders>
      </w:tcPr>
    </w:tblStylePr>
  </w:style>
  <w:style w:type="table" w:styleId="866" w:customStyle="1">
    <w:name w:val="Grid Table 5 Dark - Accent 6"/>
    <w:basedOn w:val="825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fbceaa" w:fill="fbceaa" w:themeFill="accent6" w:themeFillTint="75"/>
      </w:tcPr>
    </w:tblStylePr>
    <w:tblStylePr w:type="band1Vert">
      <w:tcPr>
        <w:shd w:val="clear" w:color="fbceaa" w:fill="fbceaa" w:themeFill="accent6" w:themeFillTint="75"/>
      </w:tcPr>
    </w:tblStylePr>
    <w:tblStylePr w:type="firstCol">
      <w:rPr>
        <w:b/>
        <w:color w:val="ffffff"/>
        <w:sz w:val="22"/>
      </w:rPr>
      <w:tcPr>
        <w:shd w:val="clear" w:color="f79646" w:fill="f79646" w:themeFill="accent6"/>
      </w:tcPr>
    </w:tblStylePr>
    <w:tblStylePr w:type="firstRow">
      <w:rPr>
        <w:b/>
        <w:color w:val="ffffff"/>
        <w:sz w:val="22"/>
      </w:rPr>
      <w:tcPr>
        <w:shd w:val="clear" w:color="f79646" w:fill="f79646" w:themeFill="accent6"/>
      </w:tcPr>
    </w:tblStylePr>
    <w:tblStylePr w:type="lastCol">
      <w:rPr>
        <w:b/>
        <w:color w:val="ffffff"/>
        <w:sz w:val="22"/>
      </w:rPr>
      <w:tcPr>
        <w:shd w:val="clear" w:color="f79646" w:fill="f79646" w:themeFill="accent6"/>
      </w:tcPr>
    </w:tblStylePr>
    <w:tblStylePr w:type="lastRow">
      <w:rPr>
        <w:b/>
        <w:color w:val="ffffff"/>
        <w:sz w:val="22"/>
      </w:rPr>
      <w:tcPr>
        <w:shd w:val="clear" w:color="f79646" w:fill="f79646" w:themeFill="accent6"/>
        <w:tcBorders>
          <w:top w:val="single" w:color="FFFFFF" w:themeColor="light1" w:sz="4" w:space="0"/>
        </w:tcBorders>
      </w:tcPr>
    </w:tblStylePr>
  </w:style>
  <w:style w:type="table" w:styleId="867">
    <w:name w:val="Grid Table 6 Colorful"/>
    <w:basedOn w:val="825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color w:val="7f7f7f" w:themeColor="text1" w:themeTint="80" w:themeShade="95"/>
        <w:sz w:val="22"/>
      </w:rPr>
      <w:tcPr>
        <w:shd w:val="clear" w:color="cbcbcb" w:fill="cbcbcb" w:themeFill="text1" w:themeFillTint="34"/>
      </w:tcPr>
    </w:tblStylePr>
    <w:tblStylePr w:type="band1Vert"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68" w:customStyle="1">
    <w:name w:val="Grid Table 6 Colorful - Accent 1"/>
    <w:basedOn w:val="825"/>
    <w:uiPriority w:val="99"/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color w:val="a6bfdd" w:themeColor="accent1" w:themeTint="80" w:themeShade="95"/>
        <w:sz w:val="22"/>
      </w:rPr>
      <w:tcPr>
        <w:shd w:val="clear" w:color="dae5f1" w:fill="dae5f1" w:themeFill="accent1" w:themeFillTint="34"/>
      </w:tcPr>
    </w:tblStylePr>
    <w:tblStylePr w:type="band1Vert"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869" w:customStyle="1">
    <w:name w:val="Grid Table 6 Colorful - Accent 2"/>
    <w:basedOn w:val="825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color w:val="d99695" w:themeColor="accent2" w:themeTint="97" w:themeShade="95"/>
        <w:sz w:val="22"/>
      </w:rPr>
      <w:tcPr>
        <w:shd w:val="clear" w:color="f2dcdc" w:fill="f2dcdc" w:themeFill="accent2" w:themeFillTint="32"/>
      </w:tcPr>
    </w:tblStylePr>
    <w:tblStylePr w:type="band1Vert"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870" w:customStyle="1">
    <w:name w:val="Grid Table 6 Colorful - Accent 3"/>
    <w:basedOn w:val="825"/>
    <w:uiPriority w:val="99"/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color w:val="9abb59" w:themeColor="accent3" w:themeTint="FE" w:themeShade="95"/>
        <w:sz w:val="22"/>
      </w:rPr>
      <w:tcPr>
        <w:shd w:val="clear" w:color="eaf1dc" w:fill="eaf1dc" w:themeFill="accent3" w:themeFillTint="34"/>
      </w:tcPr>
    </w:tblStylePr>
    <w:tblStylePr w:type="band1Vert"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871" w:customStyle="1">
    <w:name w:val="Grid Table 6 Colorful - Accent 4"/>
    <w:basedOn w:val="825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color w:val="b2a1c6" w:themeColor="accent4" w:themeTint="9A" w:themeShade="95"/>
        <w:sz w:val="22"/>
      </w:rPr>
      <w:tcPr>
        <w:shd w:val="clear" w:color="e5dfec" w:fill="e5dfec" w:themeFill="accent4" w:themeFillTint="34"/>
      </w:tcPr>
    </w:tblStylePr>
    <w:tblStylePr w:type="band1Vert"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872" w:customStyle="1">
    <w:name w:val="Grid Table 6 Colorful - Accent 5"/>
    <w:basedOn w:val="825"/>
    <w:uiPriority w:val="99"/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color w:val="266779" w:themeColor="accent5" w:themeShade="95"/>
        <w:sz w:val="22"/>
      </w:rPr>
      <w:tcPr>
        <w:shd w:val="clear" w:color="daeef3" w:fill="daeef3" w:themeFill="accent5" w:themeFillTint="34"/>
      </w:tcPr>
    </w:tblStylePr>
    <w:tblStylePr w:type="band1Vert"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73" w:customStyle="1">
    <w:name w:val="Grid Table 6 Colorful - Accent 6"/>
    <w:basedOn w:val="825"/>
    <w:uiPriority w:val="99"/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color w:val="266779" w:themeColor="accent5" w:themeShade="95"/>
        <w:sz w:val="22"/>
      </w:rPr>
      <w:tcPr>
        <w:shd w:val="clear" w:color="fde9d8" w:fill="fde9d8" w:themeFill="accent6" w:themeFillTint="34"/>
      </w:tcPr>
    </w:tblStylePr>
    <w:tblStylePr w:type="band1Vert">
      <w:tcPr>
        <w:shd w:val="clear" w:color="fde9d8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74">
    <w:name w:val="Grid Table 7 Colorful"/>
    <w:basedOn w:val="825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color w:val="7f7f7f" w:themeColor="text1" w:themeTint="80" w:themeShade="95"/>
        <w:sz w:val="22"/>
      </w:rPr>
      <w:tcPr>
        <w:shd w:val="clear" w:color="f2f2f2" w:fill="f2f2f2" w:themeFill="text1" w:themeFillTint="00"/>
      </w:tcPr>
    </w:tblStylePr>
    <w:tblStylePr w:type="band1Vert">
      <w:tcPr>
        <w:shd w:val="clear" w:color="f2f2f2" w:fill="f2f2f2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  <w:tblStylePr w:type="firstCol">
      <w:rPr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sz="4" w:space="0"/>
        </w:tcBorders>
      </w:tcPr>
    </w:tblStylePr>
    <w:tblStylePr w:type="firstRow">
      <w:rPr>
        <w:b/>
        <w:color w:val="7f7f7f" w:themeColor="text1" w:themeTint="80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7F7F7F" w:themeColor="text1" w:sz="4" w:space="0"/>
          <w:right w:val="none" w:color="000000" w:sz="0" w:space="0"/>
        </w:tcBorders>
      </w:tcPr>
    </w:tblStylePr>
    <w:tblStylePr w:type="lastCol">
      <w:rPr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b/>
        <w:color w:val="7f7f7f" w:themeColor="text1" w:themeTint="80" w:themeShade="95"/>
        <w:sz w:val="22"/>
      </w:rPr>
      <w:tcPr>
        <w:shd w:val="clear" w:color="ffffff" w:fill="ffffff" w:themeFill="light1"/>
        <w:tcBorders>
          <w:top w:val="single" w:color="7F7F7F" w:themeColor="tex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75" w:customStyle="1">
    <w:name w:val="Grid Table 7 Colorful - Accent 1"/>
    <w:basedOn w:val="825"/>
    <w:uiPriority w:val="99"/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color w:val="a6bfdd" w:themeColor="accent1" w:themeTint="80" w:themeShade="95"/>
        <w:sz w:val="22"/>
      </w:rPr>
      <w:tcPr>
        <w:shd w:val="clear" w:color="dae5f1" w:fill="dae5f1" w:themeFill="accent1" w:themeFillTint="34"/>
      </w:tcPr>
    </w:tblStylePr>
    <w:tblStylePr w:type="band1Vert"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  <w:tblStylePr w:type="firstCol">
      <w:rPr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6BFDD" w:themeColor="accent1" w:sz="4" w:space="0"/>
        </w:tcBorders>
      </w:tcPr>
    </w:tblStylePr>
    <w:tblStylePr w:type="firstRow">
      <w:rPr>
        <w:b/>
        <w:color w:val="a6bfdd" w:themeColor="accent1" w:themeTint="80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A6BFDD" w:themeColor="accent1" w:sz="4" w:space="0"/>
          <w:right w:val="none" w:color="000000" w:sz="0" w:space="0"/>
        </w:tcBorders>
      </w:tcPr>
    </w:tblStylePr>
    <w:tblStylePr w:type="lastCol">
      <w:rPr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A6BFDD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b/>
        <w:color w:val="a6bfdd" w:themeColor="accent1" w:themeTint="80" w:themeShade="95"/>
        <w:sz w:val="22"/>
      </w:rPr>
      <w:tcPr>
        <w:shd w:val="clear" w:color="ffffff" w:fill="ffffff" w:themeFill="light1"/>
        <w:tcBorders>
          <w:top w:val="single" w:color="A6BFDD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76" w:customStyle="1">
    <w:name w:val="Grid Table 7 Colorful - Accent 2"/>
    <w:basedOn w:val="825"/>
    <w:uiPriority w:val="99"/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color w:val="d99695" w:themeColor="accent2" w:themeTint="97" w:themeShade="95"/>
        <w:sz w:val="22"/>
      </w:rPr>
      <w:tcPr>
        <w:shd w:val="clear" w:color="f2dcdc" w:fill="f2dcdc" w:themeFill="accent2" w:themeFillTint="32"/>
      </w:tcPr>
    </w:tblStylePr>
    <w:tblStylePr w:type="band1Vert"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  <w:tblStylePr w:type="firstCol">
      <w:rPr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sz="4" w:space="0"/>
        </w:tcBorders>
      </w:tcPr>
    </w:tblStylePr>
    <w:tblStylePr w:type="firstRow">
      <w:rPr>
        <w:b/>
        <w:color w:val="d99695" w:themeColor="accent2" w:themeTint="97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sz="4" w:space="0"/>
          <w:right w:val="none" w:color="000000" w:sz="0" w:space="0"/>
        </w:tcBorders>
      </w:tcPr>
    </w:tblStylePr>
    <w:tblStylePr w:type="lastCol">
      <w:rPr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D99695" w:themeColor="accent2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b/>
        <w:color w:val="d99695" w:themeColor="accent2" w:themeTint="97" w:themeShade="95"/>
        <w:sz w:val="22"/>
      </w:rPr>
      <w:tcPr>
        <w:shd w:val="clear" w:color="ffffff" w:fill="ffffff" w:themeFill="light1"/>
        <w:tcBorders>
          <w:top w:val="single" w:color="D99695" w:themeColor="accent2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77" w:customStyle="1">
    <w:name w:val="Grid Table 7 Colorful - Accent 3"/>
    <w:basedOn w:val="825"/>
    <w:uiPriority w:val="99"/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color w:val="9abb59" w:themeColor="accent3" w:themeTint="FE" w:themeShade="95"/>
        <w:sz w:val="22"/>
      </w:rPr>
      <w:tcPr>
        <w:shd w:val="clear" w:color="eaf1dc" w:fill="eaf1dc" w:themeFill="accent3" w:themeFillTint="34"/>
      </w:tcPr>
    </w:tblStylePr>
    <w:tblStylePr w:type="band1Vert"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  <w:tblStylePr w:type="firstCol">
      <w:rPr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ABB59" w:themeColor="accent3" w:sz="4" w:space="0"/>
        </w:tcBorders>
      </w:tcPr>
    </w:tblStylePr>
    <w:tblStylePr w:type="firstRow">
      <w:rPr>
        <w:b/>
        <w:color w:val="9abb59" w:themeColor="accent3" w:themeTint="FE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9ABB59" w:themeColor="accent3" w:sz="4" w:space="0"/>
          <w:right w:val="none" w:color="000000" w:sz="0" w:space="0"/>
        </w:tcBorders>
      </w:tcPr>
    </w:tblStylePr>
    <w:tblStylePr w:type="lastCol">
      <w:rPr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0" w:space="0"/>
          <w:left w:val="single" w:color="9ABB59" w:themeColor="accent3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b/>
        <w:color w:val="9abb59" w:themeColor="accent3" w:themeTint="FE" w:themeShade="95"/>
        <w:sz w:val="22"/>
      </w:rPr>
      <w:tcPr>
        <w:shd w:val="clear" w:color="ffffff" w:fill="ffffff" w:themeFill="light1"/>
        <w:tcBorders>
          <w:top w:val="single" w:color="9ABB59" w:themeColor="accent3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78" w:customStyle="1">
    <w:name w:val="Grid Table 7 Colorful - Accent 4"/>
    <w:basedOn w:val="825"/>
    <w:uiPriority w:val="99"/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color w:val="b2a1c6" w:themeColor="accent4" w:themeTint="9A" w:themeShade="95"/>
        <w:sz w:val="22"/>
      </w:rPr>
      <w:tcPr>
        <w:shd w:val="clear" w:color="e5dfec" w:fill="e5dfec" w:themeFill="accent4" w:themeFillTint="34"/>
      </w:tcPr>
    </w:tblStylePr>
    <w:tblStylePr w:type="band1Vert"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  <w:tblStylePr w:type="firstCol">
      <w:rPr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sz="4" w:space="0"/>
        </w:tcBorders>
      </w:tcPr>
    </w:tblStylePr>
    <w:tblStylePr w:type="firstRow">
      <w:rPr>
        <w:b/>
        <w:color w:val="b2a1c6" w:themeColor="accent4" w:themeTint="9A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sz="4" w:space="0"/>
          <w:right w:val="none" w:color="000000" w:sz="0" w:space="0"/>
        </w:tcBorders>
      </w:tcPr>
    </w:tblStylePr>
    <w:tblStylePr w:type="lastCol">
      <w:rPr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B2A1C6" w:themeColor="accent4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b/>
        <w:color w:val="b2a1c6" w:themeColor="accent4" w:themeTint="9A" w:themeShade="95"/>
        <w:sz w:val="22"/>
      </w:rPr>
      <w:tcPr>
        <w:shd w:val="clear" w:color="ffffff" w:fill="ffffff" w:themeFill="light1"/>
        <w:tcBorders>
          <w:top w:val="single" w:color="B2A1C6" w:themeColor="accent4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79" w:customStyle="1">
    <w:name w:val="Grid Table 7 Colorful - Accent 5"/>
    <w:basedOn w:val="825"/>
    <w:uiPriority w:val="99"/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color w:val="266779" w:themeColor="accent5" w:themeShade="95"/>
        <w:sz w:val="22"/>
      </w:rPr>
      <w:tcPr>
        <w:shd w:val="clear" w:color="daeef3" w:fill="daeef3" w:themeFill="accent5" w:themeFillTint="34"/>
      </w:tcPr>
    </w:tblStylePr>
    <w:tblStylePr w:type="band1Vert"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  <w:tblStylePr w:type="firstCol">
      <w:rPr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9D0DE" w:themeColor="accent5" w:sz="4" w:space="0"/>
        </w:tcBorders>
      </w:tcPr>
    </w:tblStylePr>
    <w:tblStylePr w:type="firstRow">
      <w:rPr>
        <w:b/>
        <w:color w:val="266779" w:themeColor="accent5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99D0DE" w:themeColor="accent5" w:sz="4" w:space="0"/>
          <w:right w:val="none" w:color="000000" w:sz="0" w:space="0"/>
        </w:tcBorders>
      </w:tcPr>
    </w:tblStylePr>
    <w:tblStylePr w:type="lastCol">
      <w:rPr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0" w:space="0"/>
          <w:left w:val="single" w:color="99D0DE" w:themeColor="accent5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b/>
        <w:color w:val="266779" w:themeColor="accent5" w:themeShade="95"/>
        <w:sz w:val="22"/>
      </w:rPr>
      <w:tcPr>
        <w:shd w:val="clear" w:color="ffffff" w:fill="ffffff" w:themeFill="light1"/>
        <w:tcBorders>
          <w:top w:val="single" w:color="99D0DE" w:themeColor="accent5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80" w:customStyle="1">
    <w:name w:val="Grid Table 7 Colorful - Accent 6"/>
    <w:basedOn w:val="825"/>
    <w:uiPriority w:val="99"/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color w:val="b15407" w:themeColor="accent6" w:themeShade="95"/>
        <w:sz w:val="22"/>
      </w:rPr>
      <w:tcPr>
        <w:shd w:val="clear" w:color="fde9d8" w:fill="fde9d8" w:themeFill="accent6" w:themeFillTint="34"/>
      </w:tcPr>
    </w:tblStylePr>
    <w:tblStylePr w:type="band1Vert">
      <w:tcPr>
        <w:shd w:val="clear" w:color="fde9d8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  <w:tblStylePr w:type="firstCol">
      <w:rPr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396" w:themeColor="accent6" w:sz="4" w:space="0"/>
        </w:tcBorders>
      </w:tcPr>
    </w:tblStylePr>
    <w:tblStylePr w:type="firstRow">
      <w:rPr>
        <w:b/>
        <w:color w:val="b15407" w:themeColor="accent6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FAC396" w:themeColor="accent6" w:sz="4" w:space="0"/>
          <w:right w:val="none" w:color="000000" w:sz="0" w:space="0"/>
        </w:tcBorders>
      </w:tcPr>
    </w:tblStylePr>
    <w:tblStylePr w:type="lastCol">
      <w:rPr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0" w:space="0"/>
          <w:left w:val="single" w:color="FAC396" w:themeColor="accent6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b/>
        <w:color w:val="b15407" w:themeColor="accent6" w:themeShade="95"/>
        <w:sz w:val="22"/>
      </w:rPr>
      <w:tcPr>
        <w:shd w:val="clear" w:color="ffffff" w:fill="ffffff" w:themeFill="light1"/>
        <w:tcBorders>
          <w:top w:val="single" w:color="FAC396" w:themeColor="accent6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81">
    <w:name w:val="List Table 1 Light"/>
    <w:basedOn w:val="825"/>
    <w:uiPriority w:val="99"/>
    <w:tblPr>
      <w:tblStyleRowBandSize w:val="1"/>
      <w:tblStyleColBandSize w:val="1"/>
    </w:tblPr>
    <w:tblStylePr w:type="band1Horz">
      <w:tcPr>
        <w:shd w:val="clear" w:color="bfbfbf" w:fill="bfbfbf" w:themeFill="text1" w:themeFillTint="40"/>
      </w:tcPr>
    </w:tblStylePr>
    <w:tblStylePr w:type="band1Vert">
      <w:tcPr>
        <w:shd w:val="clear" w:color="bfbfbf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2" w:customStyle="1">
    <w:name w:val="List Table 1 Light - Accent 1"/>
    <w:basedOn w:val="825"/>
    <w:uiPriority w:val="99"/>
    <w:tblPr>
      <w:tblStyleRowBandSize w:val="1"/>
      <w:tblStyleColBandSize w:val="1"/>
    </w:tblPr>
    <w:tblStylePr w:type="band1Horz">
      <w:tcPr>
        <w:shd w:val="clear" w:color="d2dfee" w:fill="d2dfee" w:themeFill="accent1" w:themeFillTint="40"/>
      </w:tcPr>
    </w:tblStylePr>
    <w:tblStylePr w:type="band1Vert">
      <w:tcPr>
        <w:shd w:val="clear" w:color="d2dfee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3" w:customStyle="1">
    <w:name w:val="List Table 1 Light - Accent 2"/>
    <w:basedOn w:val="825"/>
    <w:uiPriority w:val="99"/>
    <w:tblPr>
      <w:tblStyleRowBandSize w:val="1"/>
      <w:tblStyleColBandSize w:val="1"/>
    </w:tblPr>
    <w:tblStylePr w:type="band1Horz">
      <w:tcPr>
        <w:shd w:val="clear" w:color="efd2d2" w:fill="efd2d2" w:themeFill="accent2" w:themeFillTint="40"/>
      </w:tcPr>
    </w:tblStylePr>
    <w:tblStylePr w:type="band1Vert">
      <w:tcPr>
        <w:shd w:val="clear" w:color="efd2d2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4" w:customStyle="1">
    <w:name w:val="List Table 1 Light - Accent 3"/>
    <w:basedOn w:val="825"/>
    <w:uiPriority w:val="99"/>
    <w:tblPr>
      <w:tblStyleRowBandSize w:val="1"/>
      <w:tblStyleColBandSize w:val="1"/>
    </w:tblPr>
    <w:tblStylePr w:type="band1Horz">
      <w:tcPr>
        <w:shd w:val="clear" w:color="e5eed5" w:fill="e5eed5" w:themeFill="accent3" w:themeFillTint="40"/>
      </w:tcPr>
    </w:tblStylePr>
    <w:tblStylePr w:type="band1Vert">
      <w:tcPr>
        <w:shd w:val="clear" w:color="e5eed5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5" w:customStyle="1">
    <w:name w:val="List Table 1 Light - Accent 4"/>
    <w:basedOn w:val="825"/>
    <w:uiPriority w:val="99"/>
    <w:tblPr>
      <w:tblStyleRowBandSize w:val="1"/>
      <w:tblStyleColBandSize w:val="1"/>
    </w:tblPr>
    <w:tblStylePr w:type="band1Horz">
      <w:tcPr>
        <w:shd w:val="clear" w:color="dfd8e7" w:fill="dfd8e7" w:themeFill="accent4" w:themeFillTint="40"/>
      </w:tcPr>
    </w:tblStylePr>
    <w:tblStylePr w:type="band1Vert">
      <w:tcPr>
        <w:shd w:val="clear" w:color="dfd8e7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6" w:customStyle="1">
    <w:name w:val="List Table 1 Light - Accent 5"/>
    <w:basedOn w:val="825"/>
    <w:uiPriority w:val="99"/>
    <w:tblPr>
      <w:tblStyleRowBandSize w:val="1"/>
      <w:tblStyleColBandSize w:val="1"/>
    </w:tblPr>
    <w:tblStylePr w:type="band1Horz">
      <w:tcPr>
        <w:shd w:val="clear" w:color="d1eaf0" w:fill="d1eaf0" w:themeFill="accent5" w:themeFillTint="40"/>
      </w:tcPr>
    </w:tblStylePr>
    <w:tblStylePr w:type="band1Vert">
      <w:tcPr>
        <w:shd w:val="clear" w:color="d1eaf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7" w:customStyle="1">
    <w:name w:val="List Table 1 Light - Accent 6"/>
    <w:basedOn w:val="825"/>
    <w:uiPriority w:val="99"/>
    <w:tblPr>
      <w:tblStyleRowBandSize w:val="1"/>
      <w:tblStyleColBandSize w:val="1"/>
    </w:tblPr>
    <w:tblStylePr w:type="band1Horz">
      <w:tcPr>
        <w:shd w:val="clear" w:color="fde4d0" w:fill="fde4d0" w:themeFill="accent6" w:themeFillTint="40"/>
      </w:tcPr>
    </w:tblStylePr>
    <w:tblStylePr w:type="band1Vert">
      <w:tcPr>
        <w:shd w:val="clear" w:color="fde4d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8">
    <w:name w:val="List Table 2"/>
    <w:basedOn w:val="825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color w:val="404040"/>
        <w:sz w:val="22"/>
      </w:rPr>
      <w:tcPr>
        <w:shd w:val="clear" w:color="bfbfbf" w:fill="bfbfbf" w:themeFill="text1" w:themeFillTint="40"/>
      </w:tcPr>
    </w:tblStylePr>
    <w:tblStylePr w:type="band1Vert">
      <w:rPr>
        <w:color w:val="404040"/>
        <w:sz w:val="22"/>
      </w:rPr>
      <w:tcPr>
        <w:shd w:val="clear" w:color="bfbfbf" w:fill="bfbfbf" w:themeFill="tex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6F6F6F" w:themeColor="text1" w:sz="4" w:space="0"/>
          <w:left w:val="none" w:color="000000" w:sz="4" w:space="0"/>
          <w:bottom w:val="single" w:color="6F6F6F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6F6F6F" w:themeColor="text1" w:sz="4" w:space="0"/>
          <w:left w:val="none" w:color="000000" w:sz="4" w:space="0"/>
          <w:bottom w:val="single" w:color="6F6F6F" w:themeColor="text1" w:sz="4" w:space="0"/>
          <w:right w:val="none" w:color="000000" w:sz="4" w:space="0"/>
        </w:tcBorders>
      </w:tcPr>
    </w:tblStylePr>
  </w:style>
  <w:style w:type="table" w:styleId="889" w:customStyle="1">
    <w:name w:val="List Table 2 - Accent 1"/>
    <w:basedOn w:val="825"/>
    <w:uiPriority w:val="99"/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color w:val="404040"/>
        <w:sz w:val="22"/>
      </w:rPr>
      <w:tcPr>
        <w:shd w:val="clear" w:color="d2dfee" w:fill="d2dfee" w:themeFill="accent1" w:themeFillTint="40"/>
      </w:tcPr>
    </w:tblStylePr>
    <w:tblStylePr w:type="band1Vert">
      <w:rPr>
        <w:color w:val="404040"/>
        <w:sz w:val="22"/>
      </w:rPr>
      <w:tcPr>
        <w:shd w:val="clear" w:color="d2dfee" w:fill="d2dfee" w:themeFill="accen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9BB7D9" w:themeColor="accent1" w:sz="4" w:space="0"/>
          <w:left w:val="none" w:color="000000" w:sz="4" w:space="0"/>
          <w:bottom w:val="single" w:color="9BB7D9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9BB7D9" w:themeColor="accent1" w:sz="4" w:space="0"/>
          <w:left w:val="none" w:color="000000" w:sz="4" w:space="0"/>
          <w:bottom w:val="single" w:color="9BB7D9" w:themeColor="accent1" w:sz="4" w:space="0"/>
          <w:right w:val="none" w:color="000000" w:sz="4" w:space="0"/>
        </w:tcBorders>
      </w:tcPr>
    </w:tblStylePr>
  </w:style>
  <w:style w:type="table" w:styleId="890" w:customStyle="1">
    <w:name w:val="List Table 2 - Accent 2"/>
    <w:basedOn w:val="825"/>
    <w:uiPriority w:val="99"/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color w:val="404040"/>
        <w:sz w:val="22"/>
      </w:rPr>
      <w:tcPr>
        <w:shd w:val="clear" w:color="efd2d2" w:fill="efd2d2" w:themeFill="accent2" w:themeFillTint="40"/>
      </w:tcPr>
    </w:tblStylePr>
    <w:tblStylePr w:type="band1Vert">
      <w:rPr>
        <w:color w:val="404040"/>
        <w:sz w:val="22"/>
      </w:rPr>
      <w:tcPr>
        <w:shd w:val="clear" w:color="efd2d2" w:fill="efd2d2" w:themeFill="accent2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DB9B9A" w:themeColor="accent2" w:sz="4" w:space="0"/>
          <w:left w:val="none" w:color="000000" w:sz="4" w:space="0"/>
          <w:bottom w:val="single" w:color="DB9B9A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DB9B9A" w:themeColor="accent2" w:sz="4" w:space="0"/>
          <w:left w:val="none" w:color="000000" w:sz="4" w:space="0"/>
          <w:bottom w:val="single" w:color="DB9B9A" w:themeColor="accent2" w:sz="4" w:space="0"/>
          <w:right w:val="none" w:color="000000" w:sz="4" w:space="0"/>
        </w:tcBorders>
      </w:tcPr>
    </w:tblStylePr>
  </w:style>
  <w:style w:type="table" w:styleId="891" w:customStyle="1">
    <w:name w:val="List Table 2 - Accent 3"/>
    <w:basedOn w:val="825"/>
    <w:uiPriority w:val="99"/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color w:val="404040"/>
        <w:sz w:val="22"/>
      </w:rPr>
      <w:tcPr>
        <w:shd w:val="clear" w:color="e5eed5" w:fill="e5eed5" w:themeFill="accent3" w:themeFillTint="40"/>
      </w:tcPr>
    </w:tblStylePr>
    <w:tblStylePr w:type="band1Vert">
      <w:rPr>
        <w:color w:val="404040"/>
        <w:sz w:val="22"/>
      </w:rPr>
      <w:tcPr>
        <w:shd w:val="clear" w:color="e5eed5" w:fill="e5eed5" w:themeFill="accent3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C6D8A1" w:themeColor="accent3" w:sz="4" w:space="0"/>
          <w:left w:val="none" w:color="000000" w:sz="4" w:space="0"/>
          <w:bottom w:val="single" w:color="C6D8A1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C6D8A1" w:themeColor="accent3" w:sz="4" w:space="0"/>
          <w:left w:val="none" w:color="000000" w:sz="4" w:space="0"/>
          <w:bottom w:val="single" w:color="C6D8A1" w:themeColor="accent3" w:sz="4" w:space="0"/>
          <w:right w:val="none" w:color="000000" w:sz="4" w:space="0"/>
        </w:tcBorders>
      </w:tcPr>
    </w:tblStylePr>
  </w:style>
  <w:style w:type="table" w:styleId="892" w:customStyle="1">
    <w:name w:val="List Table 2 - Accent 4"/>
    <w:basedOn w:val="825"/>
    <w:uiPriority w:val="99"/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color w:val="404040"/>
        <w:sz w:val="22"/>
      </w:rPr>
      <w:tcPr>
        <w:shd w:val="clear" w:color="dfd8e7" w:fill="dfd8e7" w:themeFill="accent4" w:themeFillTint="40"/>
      </w:tcPr>
    </w:tblStylePr>
    <w:tblStylePr w:type="band1Vert">
      <w:rPr>
        <w:color w:val="404040"/>
        <w:sz w:val="22"/>
      </w:rPr>
      <w:tcPr>
        <w:shd w:val="clear" w:color="dfd8e7" w:fill="dfd8e7" w:themeFill="accent4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B7A7CA" w:themeColor="accent4" w:sz="4" w:space="0"/>
          <w:left w:val="none" w:color="000000" w:sz="4" w:space="0"/>
          <w:bottom w:val="single" w:color="B7A7CA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B7A7CA" w:themeColor="accent4" w:sz="4" w:space="0"/>
          <w:left w:val="none" w:color="000000" w:sz="4" w:space="0"/>
          <w:bottom w:val="single" w:color="B7A7CA" w:themeColor="accent4" w:sz="4" w:space="0"/>
          <w:right w:val="none" w:color="000000" w:sz="4" w:space="0"/>
        </w:tcBorders>
      </w:tcPr>
    </w:tblStylePr>
  </w:style>
  <w:style w:type="table" w:styleId="893" w:customStyle="1">
    <w:name w:val="List Table 2 - Accent 5"/>
    <w:basedOn w:val="825"/>
    <w:uiPriority w:val="99"/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color w:val="404040"/>
        <w:sz w:val="22"/>
      </w:rPr>
      <w:tcPr>
        <w:shd w:val="clear" w:color="d1eaf0" w:fill="d1eaf0" w:themeFill="accent5" w:themeFillTint="40"/>
      </w:tcPr>
    </w:tblStylePr>
    <w:tblStylePr w:type="band1Vert">
      <w:rPr>
        <w:color w:val="404040"/>
        <w:sz w:val="22"/>
      </w:rPr>
      <w:tcPr>
        <w:shd w:val="clear" w:color="d1eaf0" w:fill="d1eaf0" w:themeFill="accent5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99D0DE" w:themeColor="accent5" w:sz="4" w:space="0"/>
          <w:left w:val="none" w:color="000000" w:sz="4" w:space="0"/>
          <w:bottom w:val="single" w:color="99D0DE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99D0DE" w:themeColor="accent5" w:sz="4" w:space="0"/>
          <w:left w:val="none" w:color="000000" w:sz="4" w:space="0"/>
          <w:bottom w:val="single" w:color="99D0DE" w:themeColor="accent5" w:sz="4" w:space="0"/>
          <w:right w:val="none" w:color="000000" w:sz="4" w:space="0"/>
        </w:tcBorders>
      </w:tcPr>
    </w:tblStylePr>
  </w:style>
  <w:style w:type="table" w:styleId="894" w:customStyle="1">
    <w:name w:val="List Table 2 - Accent 6"/>
    <w:basedOn w:val="825"/>
    <w:uiPriority w:val="99"/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color w:val="404040"/>
        <w:sz w:val="22"/>
      </w:rPr>
      <w:tcPr>
        <w:shd w:val="clear" w:color="fde4d0" w:fill="fde4d0" w:themeFill="accent6" w:themeFillTint="40"/>
      </w:tcPr>
    </w:tblStylePr>
    <w:tblStylePr w:type="band1Vert">
      <w:rPr>
        <w:color w:val="404040"/>
        <w:sz w:val="22"/>
      </w:rPr>
      <w:tcPr>
        <w:shd w:val="clear" w:color="fde4d0" w:fill="fde4d0" w:themeFill="accent6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FAC396" w:themeColor="accent6" w:sz="4" w:space="0"/>
          <w:left w:val="none" w:color="000000" w:sz="4" w:space="0"/>
          <w:bottom w:val="single" w:color="FAC39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FAC396" w:themeColor="accent6" w:sz="4" w:space="0"/>
          <w:left w:val="none" w:color="000000" w:sz="4" w:space="0"/>
          <w:bottom w:val="single" w:color="FAC396" w:themeColor="accent6" w:sz="4" w:space="0"/>
          <w:right w:val="none" w:color="000000" w:sz="4" w:space="0"/>
        </w:tcBorders>
      </w:tcPr>
    </w:tblStylePr>
  </w:style>
  <w:style w:type="table" w:styleId="895">
    <w:name w:val="List Table 3"/>
    <w:basedOn w:val="825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000000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6" w:customStyle="1">
    <w:name w:val="List Table 3 - Accent 1"/>
    <w:basedOn w:val="825"/>
    <w:uiPriority w:val="99"/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4f81bd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7" w:customStyle="1">
    <w:name w:val="List Table 3 - Accent 2"/>
    <w:basedOn w:val="825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color w:val="404040"/>
        <w:sz w:val="22"/>
      </w:rPr>
      <w:tcPr>
        <w:tcBorders>
          <w:top w:val="single" w:color="D99695" w:themeColor="accent2" w:sz="4" w:space="0"/>
          <w:bottom w:val="single" w:color="D99695" w:themeColor="accent2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D99695" w:themeColor="accent2" w:sz="4" w:space="0"/>
          <w:right w:val="single" w:color="D99695" w:themeColor="accent2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d99695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8" w:customStyle="1">
    <w:name w:val="List Table 3 - Accent 3"/>
    <w:basedOn w:val="825"/>
    <w:uiPriority w:val="99"/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color w:val="404040"/>
        <w:sz w:val="22"/>
      </w:rPr>
      <w:tcPr>
        <w:tcBorders>
          <w:top w:val="single" w:color="C3D69B" w:themeColor="accent3" w:sz="4" w:space="0"/>
          <w:bottom w:val="single" w:color="C3D69B" w:themeColor="accent3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C3D69B" w:themeColor="accent3" w:sz="4" w:space="0"/>
          <w:right w:val="single" w:color="C3D69B" w:themeColor="accent3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c3d69b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9" w:customStyle="1">
    <w:name w:val="List Table 3 - Accent 4"/>
    <w:basedOn w:val="825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color w:val="404040"/>
        <w:sz w:val="22"/>
      </w:rPr>
      <w:tcPr>
        <w:tcBorders>
          <w:top w:val="single" w:color="B2A1C6" w:themeColor="accent4" w:sz="4" w:space="0"/>
          <w:bottom w:val="single" w:color="B2A1C6" w:themeColor="accent4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B2A1C6" w:themeColor="accent4" w:sz="4" w:space="0"/>
          <w:right w:val="single" w:color="B2A1C6" w:themeColor="accent4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b2a1c6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0" w:customStyle="1">
    <w:name w:val="List Table 3 - Accent 5"/>
    <w:basedOn w:val="825"/>
    <w:uiPriority w:val="99"/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color w:val="404040"/>
        <w:sz w:val="22"/>
      </w:rPr>
      <w:tcPr>
        <w:tcBorders>
          <w:top w:val="single" w:color="92CCDC" w:themeColor="accent5" w:sz="4" w:space="0"/>
          <w:bottom w:val="single" w:color="92CCDC" w:themeColor="accent5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92CCDC" w:themeColor="accent5" w:sz="4" w:space="0"/>
          <w:right w:val="single" w:color="92CCDC" w:themeColor="accent5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92ccdc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1" w:customStyle="1">
    <w:name w:val="List Table 3 - Accent 6"/>
    <w:basedOn w:val="825"/>
    <w:uiPriority w:val="99"/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color w:val="404040"/>
        <w:sz w:val="22"/>
      </w:rPr>
      <w:tcPr>
        <w:tcBorders>
          <w:top w:val="single" w:color="FAC090" w:themeColor="accent6" w:sz="4" w:space="0"/>
          <w:bottom w:val="single" w:color="FAC090" w:themeColor="accent6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FAC090" w:themeColor="accent6" w:sz="4" w:space="0"/>
          <w:right w:val="single" w:color="FAC090" w:themeColor="accent6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ac090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2">
    <w:name w:val="List Table 4"/>
    <w:basedOn w:val="825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color w:val="404040"/>
        <w:sz w:val="22"/>
      </w:rPr>
      <w:tcPr>
        <w:shd w:val="clear" w:color="bfbfbf" w:fill="bfbfbf" w:themeFill="text1" w:themeFillTint="40"/>
      </w:tcPr>
    </w:tblStylePr>
    <w:tblStylePr w:type="band1Vert">
      <w:rPr>
        <w:color w:val="404040"/>
        <w:sz w:val="22"/>
      </w:rPr>
      <w:tcPr>
        <w:shd w:val="clear" w:color="bfbfbf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000000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3" w:customStyle="1">
    <w:name w:val="List Table 4 - Accent 1"/>
    <w:basedOn w:val="825"/>
    <w:uiPriority w:val="9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color w:val="404040"/>
        <w:sz w:val="22"/>
      </w:rPr>
      <w:tcPr>
        <w:shd w:val="clear" w:color="d2dfee" w:fill="d2dfee" w:themeFill="accent1" w:themeFillTint="40"/>
      </w:tcPr>
    </w:tblStylePr>
    <w:tblStylePr w:type="band1Vert">
      <w:rPr>
        <w:color w:val="404040"/>
        <w:sz w:val="22"/>
      </w:rPr>
      <w:tcPr>
        <w:shd w:val="clear" w:color="d2dfee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4f81bd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4" w:customStyle="1">
    <w:name w:val="List Table 4 - Accent 2"/>
    <w:basedOn w:val="825"/>
    <w:uiPriority w:val="9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color w:val="404040"/>
        <w:sz w:val="22"/>
      </w:rPr>
      <w:tcPr>
        <w:shd w:val="clear" w:color="efd2d2" w:fill="efd2d2" w:themeFill="accent2" w:themeFillTint="40"/>
      </w:tcPr>
    </w:tblStylePr>
    <w:tblStylePr w:type="band1Vert">
      <w:rPr>
        <w:color w:val="404040"/>
        <w:sz w:val="22"/>
      </w:rPr>
      <w:tcPr>
        <w:shd w:val="clear" w:color="efd2d2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c0504d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5" w:customStyle="1">
    <w:name w:val="List Table 4 - Accent 3"/>
    <w:basedOn w:val="825"/>
    <w:uiPriority w:val="9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color w:val="404040"/>
        <w:sz w:val="22"/>
      </w:rPr>
      <w:tcPr>
        <w:shd w:val="clear" w:color="e5eed5" w:fill="e5eed5" w:themeFill="accent3" w:themeFillTint="40"/>
      </w:tcPr>
    </w:tblStylePr>
    <w:tblStylePr w:type="band1Vert">
      <w:rPr>
        <w:color w:val="404040"/>
        <w:sz w:val="22"/>
      </w:rPr>
      <w:tcPr>
        <w:shd w:val="clear" w:color="e5eed5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9bbb59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6" w:customStyle="1">
    <w:name w:val="List Table 4 - Accent 4"/>
    <w:basedOn w:val="825"/>
    <w:uiPriority w:val="9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color w:val="404040"/>
        <w:sz w:val="22"/>
      </w:rPr>
      <w:tcPr>
        <w:shd w:val="clear" w:color="dfd8e7" w:fill="dfd8e7" w:themeFill="accent4" w:themeFillTint="40"/>
      </w:tcPr>
    </w:tblStylePr>
    <w:tblStylePr w:type="band1Vert">
      <w:rPr>
        <w:color w:val="404040"/>
        <w:sz w:val="22"/>
      </w:rPr>
      <w:tcPr>
        <w:shd w:val="clear" w:color="dfd8e7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8064a2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7" w:customStyle="1">
    <w:name w:val="List Table 4 - Accent 5"/>
    <w:basedOn w:val="825"/>
    <w:uiPriority w:val="9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color w:val="404040"/>
        <w:sz w:val="22"/>
      </w:rPr>
      <w:tcPr>
        <w:shd w:val="clear" w:color="d1eaf0" w:fill="d1eaf0" w:themeFill="accent5" w:themeFillTint="40"/>
      </w:tcPr>
    </w:tblStylePr>
    <w:tblStylePr w:type="band1Vert">
      <w:rPr>
        <w:color w:val="404040"/>
        <w:sz w:val="22"/>
      </w:rPr>
      <w:tcPr>
        <w:shd w:val="clear" w:color="d1eaf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4bacc6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8" w:customStyle="1">
    <w:name w:val="List Table 4 - Accent 6"/>
    <w:basedOn w:val="825"/>
    <w:uiPriority w:val="9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color w:val="404040"/>
        <w:sz w:val="22"/>
      </w:rPr>
      <w:tcPr>
        <w:shd w:val="clear" w:color="fde4d0" w:fill="fde4d0" w:themeFill="accent6" w:themeFillTint="40"/>
      </w:tcPr>
    </w:tblStylePr>
    <w:tblStylePr w:type="band1Vert">
      <w:rPr>
        <w:color w:val="404040"/>
        <w:sz w:val="22"/>
      </w:rPr>
      <w:tcPr>
        <w:shd w:val="clear" w:color="fde4d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7964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9">
    <w:name w:val="List Table 5 Dark"/>
    <w:basedOn w:val="825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</w:tblPr>
    <w:tblStylePr w:type="band1Horz">
      <w:tcPr>
        <w:shd w:val="clear" w:color="7f7f7f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7F7F7F" w:themeColor="text1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7f7f7f" w:fill="7f7f7f" w:themeFill="text1" w:themeFillTint="80"/>
        <w:tcBorders>
          <w:top w:val="single" w:color="7F7F7F" w:themeColor="tex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910" w:customStyle="1">
    <w:name w:val="List Table 5 Dark - Accent 1"/>
    <w:basedOn w:val="825"/>
    <w:uiPriority w:val="99"/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</w:tblPr>
    <w:tblStylePr w:type="band1Horz">
      <w:tcPr>
        <w:shd w:val="clear" w:color="4f81bd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4f81bd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911" w:customStyle="1">
    <w:name w:val="List Table 5 Dark - Accent 2"/>
    <w:basedOn w:val="825"/>
    <w:uiPriority w:val="99"/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</w:tblPr>
    <w:tblStylePr w:type="band1Horz">
      <w:tcPr>
        <w:shd w:val="clear" w:color="d99695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D99695" w:themeColor="accent2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d99695" w:fill="d99695" w:themeFill="accent2" w:themeFillTint="97"/>
        <w:tcBorders>
          <w:top w:val="single" w:color="D99695" w:themeColor="accent2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912" w:customStyle="1">
    <w:name w:val="List Table 5 Dark - Accent 3"/>
    <w:basedOn w:val="825"/>
    <w:uiPriority w:val="99"/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</w:tblPr>
    <w:tblStylePr w:type="band1Horz">
      <w:tcPr>
        <w:shd w:val="clear" w:color="c3d69b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C3D69B" w:themeColor="accent3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c3d69b" w:fill="c3d69b" w:themeFill="accent3" w:themeFillTint="98"/>
        <w:tcBorders>
          <w:top w:val="single" w:color="C3D69B" w:themeColor="accent3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913" w:customStyle="1">
    <w:name w:val="List Table 5 Dark - Accent 4"/>
    <w:basedOn w:val="825"/>
    <w:uiPriority w:val="99"/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</w:tblPr>
    <w:tblStylePr w:type="band1Horz">
      <w:tcPr>
        <w:shd w:val="clear" w:color="b2a1c6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B2A1C6" w:themeColor="accent4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b2a1c6" w:fill="b2a1c6" w:themeFill="accent4" w:themeFillTint="9A"/>
        <w:tcBorders>
          <w:top w:val="single" w:color="B2A1C6" w:themeColor="accent4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914" w:customStyle="1">
    <w:name w:val="List Table 5 Dark - Accent 5"/>
    <w:basedOn w:val="825"/>
    <w:uiPriority w:val="99"/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</w:tblPr>
    <w:tblStylePr w:type="band1Horz">
      <w:tcPr>
        <w:shd w:val="clear" w:color="92ccdc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92CCDC" w:themeColor="accent5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92ccdc" w:fill="92ccdc" w:themeFill="accent5" w:themeFillTint="9A"/>
        <w:tcBorders>
          <w:top w:val="single" w:color="92CCDC" w:themeColor="accent5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915" w:customStyle="1">
    <w:name w:val="List Table 5 Dark - Accent 6"/>
    <w:basedOn w:val="825"/>
    <w:uiPriority w:val="99"/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</w:tblPr>
    <w:tblStylePr w:type="band1Horz">
      <w:tcPr>
        <w:shd w:val="clear" w:color="fac090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FAC090" w:themeColor="accent6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ac090" w:fill="fac090" w:themeFill="accent6" w:themeFillTint="98"/>
        <w:tcBorders>
          <w:top w:val="single" w:color="FAC090" w:themeColor="accent6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916">
    <w:name w:val="List Table 6 Colorful"/>
    <w:basedOn w:val="825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color w:val="000000" w:themeColor="text1"/>
        <w:sz w:val="22"/>
      </w:rPr>
      <w:tcPr>
        <w:shd w:val="clear" w:color="bfbfbf" w:fill="bfbfbf" w:themeFill="text1" w:themeFillTint="40"/>
      </w:tcPr>
    </w:tblStylePr>
    <w:tblStylePr w:type="band1Vert"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sz="4" w:space="0"/>
        </w:tcBorders>
      </w:tcPr>
    </w:tblStylePr>
  </w:style>
  <w:style w:type="table" w:styleId="917" w:customStyle="1">
    <w:name w:val="List Table 6 Colorful - Accent 1"/>
    <w:basedOn w:val="825"/>
    <w:uiPriority w:val="99"/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color w:val="2a4a71" w:themeColor="accent1" w:themeShade="95"/>
        <w:sz w:val="22"/>
      </w:rPr>
      <w:tcPr>
        <w:shd w:val="clear" w:color="d2dfee" w:fill="d2dfee" w:themeFill="accent1" w:themeFillTint="40"/>
      </w:tcPr>
    </w:tblStylePr>
    <w:tblStylePr w:type="band1Vert"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918" w:customStyle="1">
    <w:name w:val="List Table 6 Colorful - Accent 2"/>
    <w:basedOn w:val="825"/>
    <w:uiPriority w:val="99"/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color w:val="d99695" w:themeColor="accent2" w:themeTint="97" w:themeShade="95"/>
        <w:sz w:val="22"/>
      </w:rPr>
      <w:tcPr>
        <w:shd w:val="clear" w:color="efd2d2" w:fill="efd2d2" w:themeFill="accent2" w:themeFillTint="40"/>
      </w:tcPr>
    </w:tblStylePr>
    <w:tblStylePr w:type="band1Vert"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sz="4" w:space="0"/>
        </w:tcBorders>
      </w:tcPr>
    </w:tblStylePr>
  </w:style>
  <w:style w:type="table" w:styleId="919" w:customStyle="1">
    <w:name w:val="List Table 6 Colorful - Accent 3"/>
    <w:basedOn w:val="825"/>
    <w:uiPriority w:val="99"/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color w:val="c3d69b" w:themeColor="accent3" w:themeTint="98" w:themeShade="95"/>
        <w:sz w:val="22"/>
      </w:rPr>
      <w:tcPr>
        <w:shd w:val="clear" w:color="e5eed5" w:fill="e5eed5" w:themeFill="accent3" w:themeFillTint="40"/>
      </w:tcPr>
    </w:tblStylePr>
    <w:tblStylePr w:type="band1Vert"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sz="4" w:space="0"/>
        </w:tcBorders>
      </w:tcPr>
    </w:tblStylePr>
  </w:style>
  <w:style w:type="table" w:styleId="920" w:customStyle="1">
    <w:name w:val="List Table 6 Colorful - Accent 4"/>
    <w:basedOn w:val="825"/>
    <w:uiPriority w:val="99"/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color w:val="b2a1c6" w:themeColor="accent4" w:themeTint="9A" w:themeShade="95"/>
        <w:sz w:val="22"/>
      </w:rPr>
      <w:tcPr>
        <w:shd w:val="clear" w:color="dfd8e7" w:fill="dfd8e7" w:themeFill="accent4" w:themeFillTint="40"/>
      </w:tcPr>
    </w:tblStylePr>
    <w:tblStylePr w:type="band1Vert"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sz="4" w:space="0"/>
        </w:tcBorders>
      </w:tcPr>
    </w:tblStylePr>
  </w:style>
  <w:style w:type="table" w:styleId="921" w:customStyle="1">
    <w:name w:val="List Table 6 Colorful - Accent 5"/>
    <w:basedOn w:val="825"/>
    <w:uiPriority w:val="99"/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color w:val="92ccdc" w:themeColor="accent5" w:themeTint="9A" w:themeShade="95"/>
        <w:sz w:val="22"/>
      </w:rPr>
      <w:tcPr>
        <w:shd w:val="clear" w:color="d1eaf0" w:fill="d1eaf0" w:themeFill="accent5" w:themeFillTint="40"/>
      </w:tcPr>
    </w:tblStylePr>
    <w:tblStylePr w:type="band1Vert"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sz="4" w:space="0"/>
        </w:tcBorders>
      </w:tcPr>
    </w:tblStylePr>
  </w:style>
  <w:style w:type="table" w:styleId="922" w:customStyle="1">
    <w:name w:val="List Table 6 Colorful - Accent 6"/>
    <w:basedOn w:val="825"/>
    <w:uiPriority w:val="99"/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color w:val="fac090" w:themeColor="accent6" w:themeTint="98" w:themeShade="95"/>
        <w:sz w:val="22"/>
      </w:rPr>
      <w:tcPr>
        <w:shd w:val="clear" w:color="fde4d0" w:fill="fde4d0" w:themeFill="accent6" w:themeFillTint="40"/>
      </w:tcPr>
    </w:tblStylePr>
    <w:tblStylePr w:type="band1Vert"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sz="4" w:space="0"/>
        </w:tcBorders>
      </w:tcPr>
    </w:tblStylePr>
  </w:style>
  <w:style w:type="table" w:styleId="923">
    <w:name w:val="List Table 7 Colorful"/>
    <w:basedOn w:val="825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color w:val="7f7f7f" w:themeColor="text1" w:themeTint="80" w:themeShade="95"/>
        <w:sz w:val="22"/>
      </w:rPr>
      <w:tcPr>
        <w:shd w:val="clear" w:color="bfbfbf" w:fill="bfbfbf" w:themeFill="text1" w:themeFillTint="40"/>
      </w:tcPr>
    </w:tblStylePr>
    <w:tblStylePr w:type="band1Vert"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  <w:tblStylePr w:type="firstCol">
      <w:rPr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sz="4" w:space="0"/>
        </w:tcBorders>
      </w:tcPr>
    </w:tblStylePr>
    <w:tblStylePr w:type="firstRow">
      <w:rPr>
        <w:i/>
        <w:color w:val="7f7f7f" w:themeColor="text1" w:themeTint="80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7F7F7F" w:themeColor="text1" w:sz="4" w:space="0"/>
          <w:right w:val="none" w:color="000000" w:sz="0" w:space="0"/>
        </w:tcBorders>
      </w:tcPr>
    </w:tblStylePr>
    <w:tblStylePr w:type="lastCol">
      <w:rPr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i/>
        <w:color w:val="7f7f7f" w:themeColor="text1" w:themeTint="80" w:themeShade="95"/>
        <w:sz w:val="22"/>
      </w:rPr>
      <w:tcPr>
        <w:shd w:val="clear" w:color="ffffff" w:fill="ffffff" w:themeFill="light1"/>
        <w:tcBorders>
          <w:top w:val="single" w:color="7F7F7F" w:themeColor="tex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24" w:customStyle="1">
    <w:name w:val="List Table 7 Colorful - Accent 1"/>
    <w:basedOn w:val="825"/>
    <w:uiPriority w:val="99"/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color w:val="2a4a71" w:themeColor="accent1" w:themeShade="95"/>
        <w:sz w:val="22"/>
      </w:rPr>
      <w:tcPr>
        <w:shd w:val="clear" w:color="d2dfee" w:fill="d2dfee" w:themeFill="accent1" w:themeFillTint="40"/>
      </w:tcPr>
    </w:tblStylePr>
    <w:tblStylePr w:type="band1Vert"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  <w:tblStylePr w:type="firstCol">
      <w:rPr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4F81BD" w:themeColor="accent1" w:sz="4" w:space="0"/>
        </w:tcBorders>
      </w:tcPr>
    </w:tblStylePr>
    <w:tblStylePr w:type="firstRow">
      <w:rPr>
        <w:i/>
        <w:color w:val="2a4a71" w:themeColor="accent1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4F81BD" w:themeColor="accent1" w:sz="4" w:space="0"/>
          <w:right w:val="none" w:color="000000" w:sz="0" w:space="0"/>
        </w:tcBorders>
      </w:tcPr>
    </w:tblStylePr>
    <w:tblStylePr w:type="lastCol">
      <w:rPr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0" w:space="0"/>
          <w:left w:val="single" w:color="4F81BD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i/>
        <w:color w:val="2a4a71" w:themeColor="accent1" w:themeShade="95"/>
        <w:sz w:val="22"/>
      </w:rPr>
      <w:tcPr>
        <w:shd w:val="clear" w:color="ffffff" w:fill="ffffff" w:themeFill="light1"/>
        <w:tcBorders>
          <w:top w:val="single" w:color="4F81BD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25" w:customStyle="1">
    <w:name w:val="List Table 7 Colorful - Accent 2"/>
    <w:basedOn w:val="825"/>
    <w:uiPriority w:val="99"/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color w:val="d99695" w:themeColor="accent2" w:themeTint="97" w:themeShade="95"/>
        <w:sz w:val="22"/>
      </w:rPr>
      <w:tcPr>
        <w:shd w:val="clear" w:color="efd2d2" w:fill="efd2d2" w:themeFill="accent2" w:themeFillTint="40"/>
      </w:tcPr>
    </w:tblStylePr>
    <w:tblStylePr w:type="band1Vert"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  <w:tblStylePr w:type="firstCol">
      <w:rPr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sz="4" w:space="0"/>
        </w:tcBorders>
      </w:tcPr>
    </w:tblStylePr>
    <w:tblStylePr w:type="firstRow">
      <w:rPr>
        <w:i/>
        <w:color w:val="d99695" w:themeColor="accent2" w:themeTint="97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sz="4" w:space="0"/>
          <w:right w:val="none" w:color="000000" w:sz="0" w:space="0"/>
        </w:tcBorders>
      </w:tcPr>
    </w:tblStylePr>
    <w:tblStylePr w:type="lastCol">
      <w:rPr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D99695" w:themeColor="accent2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i/>
        <w:color w:val="d99695" w:themeColor="accent2" w:themeTint="97" w:themeShade="95"/>
        <w:sz w:val="22"/>
      </w:rPr>
      <w:tcPr>
        <w:shd w:val="clear" w:color="ffffff" w:fill="ffffff" w:themeFill="light1"/>
        <w:tcBorders>
          <w:top w:val="single" w:color="D99695" w:themeColor="accent2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26" w:customStyle="1">
    <w:name w:val="List Table 7 Colorful - Accent 3"/>
    <w:basedOn w:val="825"/>
    <w:uiPriority w:val="99"/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color w:val="c3d69b" w:themeColor="accent3" w:themeTint="98" w:themeShade="95"/>
        <w:sz w:val="22"/>
      </w:rPr>
      <w:tcPr>
        <w:shd w:val="clear" w:color="e5eed5" w:fill="e5eed5" w:themeFill="accent3" w:themeFillTint="40"/>
      </w:tcPr>
    </w:tblStylePr>
    <w:tblStylePr w:type="band1Vert"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  <w:tblStylePr w:type="firstCol">
      <w:rPr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3D69B" w:themeColor="accent3" w:sz="4" w:space="0"/>
        </w:tcBorders>
      </w:tcPr>
    </w:tblStylePr>
    <w:tblStylePr w:type="firstRow">
      <w:rPr>
        <w:i/>
        <w:color w:val="c3d69b" w:themeColor="accent3" w:themeTint="98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C3D69B" w:themeColor="accent3" w:sz="4" w:space="0"/>
          <w:right w:val="none" w:color="000000" w:sz="0" w:space="0"/>
        </w:tcBorders>
      </w:tcPr>
    </w:tblStylePr>
    <w:tblStylePr w:type="lastCol">
      <w:rPr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C3D69B" w:themeColor="accent3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i/>
        <w:color w:val="c3d69b" w:themeColor="accent3" w:themeTint="98" w:themeShade="95"/>
        <w:sz w:val="22"/>
      </w:rPr>
      <w:tcPr>
        <w:shd w:val="clear" w:color="ffffff" w:fill="ffffff" w:themeFill="light1"/>
        <w:tcBorders>
          <w:top w:val="single" w:color="C3D69B" w:themeColor="accent3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27" w:customStyle="1">
    <w:name w:val="List Table 7 Colorful - Accent 4"/>
    <w:basedOn w:val="825"/>
    <w:uiPriority w:val="99"/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color w:val="b2a1c6" w:themeColor="accent4" w:themeTint="9A" w:themeShade="95"/>
        <w:sz w:val="22"/>
      </w:rPr>
      <w:tcPr>
        <w:shd w:val="clear" w:color="dfd8e7" w:fill="dfd8e7" w:themeFill="accent4" w:themeFillTint="40"/>
      </w:tcPr>
    </w:tblStylePr>
    <w:tblStylePr w:type="band1Vert"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  <w:tblStylePr w:type="firstCol">
      <w:rPr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sz="4" w:space="0"/>
        </w:tcBorders>
      </w:tcPr>
    </w:tblStylePr>
    <w:tblStylePr w:type="firstRow">
      <w:rPr>
        <w:i/>
        <w:color w:val="b2a1c6" w:themeColor="accent4" w:themeTint="9A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sz="4" w:space="0"/>
          <w:right w:val="none" w:color="000000" w:sz="0" w:space="0"/>
        </w:tcBorders>
      </w:tcPr>
    </w:tblStylePr>
    <w:tblStylePr w:type="lastCol">
      <w:rPr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B2A1C6" w:themeColor="accent4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i/>
        <w:color w:val="b2a1c6" w:themeColor="accent4" w:themeTint="9A" w:themeShade="95"/>
        <w:sz w:val="22"/>
      </w:rPr>
      <w:tcPr>
        <w:shd w:val="clear" w:color="ffffff" w:fill="ffffff" w:themeFill="light1"/>
        <w:tcBorders>
          <w:top w:val="single" w:color="B2A1C6" w:themeColor="accent4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28" w:customStyle="1">
    <w:name w:val="List Table 7 Colorful - Accent 5"/>
    <w:basedOn w:val="825"/>
    <w:uiPriority w:val="99"/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color w:val="92ccdc" w:themeColor="accent5" w:themeTint="9A" w:themeShade="95"/>
        <w:sz w:val="22"/>
      </w:rPr>
      <w:tcPr>
        <w:shd w:val="clear" w:color="d1eaf0" w:fill="d1eaf0" w:themeFill="accent5" w:themeFillTint="40"/>
      </w:tcPr>
    </w:tblStylePr>
    <w:tblStylePr w:type="band1Vert"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  <w:tblStylePr w:type="firstCol">
      <w:rPr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2CCDC" w:themeColor="accent5" w:sz="4" w:space="0"/>
        </w:tcBorders>
      </w:tcPr>
    </w:tblStylePr>
    <w:tblStylePr w:type="firstRow">
      <w:rPr>
        <w:i/>
        <w:color w:val="92ccdc" w:themeColor="accent5" w:themeTint="9A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92CCDC" w:themeColor="accent5" w:sz="4" w:space="0"/>
          <w:right w:val="none" w:color="000000" w:sz="0" w:space="0"/>
        </w:tcBorders>
      </w:tcPr>
    </w:tblStylePr>
    <w:tblStylePr w:type="lastCol">
      <w:rPr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92CCDC" w:themeColor="accent5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i/>
        <w:color w:val="92ccdc" w:themeColor="accent5" w:themeTint="9A" w:themeShade="95"/>
        <w:sz w:val="22"/>
      </w:rPr>
      <w:tcPr>
        <w:shd w:val="clear" w:color="ffffff" w:fill="ffffff" w:themeFill="light1"/>
        <w:tcBorders>
          <w:top w:val="single" w:color="92CCDC" w:themeColor="accent5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29" w:customStyle="1">
    <w:name w:val="List Table 7 Colorful - Accent 6"/>
    <w:basedOn w:val="825"/>
    <w:uiPriority w:val="99"/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color w:val="fac090" w:themeColor="accent6" w:themeTint="98" w:themeShade="95"/>
        <w:sz w:val="22"/>
      </w:rPr>
      <w:tcPr>
        <w:shd w:val="clear" w:color="fde4d0" w:fill="fde4d0" w:themeFill="accent6" w:themeFillTint="40"/>
      </w:tcPr>
    </w:tblStylePr>
    <w:tblStylePr w:type="band1Vert"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  <w:tblStylePr w:type="firstCol">
      <w:rPr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090" w:themeColor="accent6" w:sz="4" w:space="0"/>
        </w:tcBorders>
      </w:tcPr>
    </w:tblStylePr>
    <w:tblStylePr w:type="firstRow">
      <w:rPr>
        <w:i/>
        <w:color w:val="fac090" w:themeColor="accent6" w:themeTint="98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FAC090" w:themeColor="accent6" w:sz="4" w:space="0"/>
          <w:right w:val="none" w:color="000000" w:sz="0" w:space="0"/>
        </w:tcBorders>
      </w:tcPr>
    </w:tblStylePr>
    <w:tblStylePr w:type="lastCol">
      <w:rPr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FAC090" w:themeColor="accent6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i/>
        <w:color w:val="fac090" w:themeColor="accent6" w:themeTint="98" w:themeShade="95"/>
        <w:sz w:val="22"/>
      </w:rPr>
      <w:tcPr>
        <w:shd w:val="clear" w:color="ffffff" w:fill="ffffff" w:themeFill="light1"/>
        <w:tcBorders>
          <w:top w:val="single" w:color="FAC090" w:themeColor="accent6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30" w:customStyle="1">
    <w:name w:val="Lined - Accent"/>
    <w:basedOn w:val="825"/>
    <w:uiPriority w:val="99"/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2f2f2" w:fill="f2f2f2" w:themeFill="text1" w:themeFillTint="00"/>
      </w:tcPr>
    </w:tblStylePr>
    <w:tblStylePr w:type="band2Vert">
      <w:rPr>
        <w:color w:val="404040"/>
        <w:sz w:val="22"/>
      </w:rPr>
      <w:tcPr>
        <w:shd w:val="clear" w:color="f2f2f2" w:fill="f2f2f2" w:themeFill="text1" w:themeFillTint="00"/>
      </w:tcPr>
    </w:tblStylePr>
    <w:tblStylePr w:type="firstCol">
      <w:rPr>
        <w:color w:val="f2f2f2"/>
        <w:sz w:val="22"/>
      </w:rPr>
      <w:tcPr>
        <w:shd w:val="clear" w:color="7f7f7f" w:fill="7f7f7f" w:themeFill="text1" w:themeFillTint="80"/>
      </w:tcPr>
    </w:tblStylePr>
    <w:tblStylePr w:type="firstRow">
      <w:rPr>
        <w:color w:val="f2f2f2"/>
        <w:sz w:val="22"/>
      </w:rPr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cPr>
        <w:shd w:val="clear" w:color="7f7f7f" w:fill="7f7f7f" w:themeFill="text1" w:themeFillTint="80"/>
      </w:tcPr>
    </w:tblStylePr>
  </w:style>
  <w:style w:type="table" w:styleId="931" w:customStyle="1">
    <w:name w:val="Lined - Accent 1"/>
    <w:basedOn w:val="825"/>
    <w:uiPriority w:val="99"/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c7d7ea" w:fill="c7d7ea" w:themeFill="accent1" w:themeFillTint="50"/>
      </w:tcPr>
    </w:tblStylePr>
    <w:tblStylePr w:type="band2Vert">
      <w:rPr>
        <w:color w:val="404040"/>
        <w:sz w:val="22"/>
      </w:rPr>
      <w:tcPr>
        <w:shd w:val="clear" w:color="c7d7ea" w:fill="c7d7ea" w:themeFill="accent1" w:themeFillTint="50"/>
      </w:tcPr>
    </w:tblStylePr>
    <w:tblStylePr w:type="firstCol">
      <w:rPr>
        <w:color w:val="f2f2f2"/>
        <w:sz w:val="22"/>
      </w:rPr>
      <w:tcPr>
        <w:shd w:val="clear" w:color="5d8ac2" w:fill="5d8ac2" w:themeFill="accent1" w:themeFillTint="EA"/>
      </w:tcPr>
    </w:tblStylePr>
    <w:tblStylePr w:type="firstRow">
      <w:rPr>
        <w:color w:val="f2f2f2"/>
        <w:sz w:val="22"/>
      </w:rPr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cPr>
        <w:shd w:val="clear" w:color="5d8ac2" w:fill="5d8ac2" w:themeFill="accent1" w:themeFillTint="EA"/>
      </w:tcPr>
    </w:tblStylePr>
  </w:style>
  <w:style w:type="table" w:styleId="932" w:customStyle="1">
    <w:name w:val="Lined - Accent 2"/>
    <w:basedOn w:val="825"/>
    <w:uiPriority w:val="99"/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2dcdc" w:fill="f2dcdc" w:themeFill="accent2" w:themeFillTint="32"/>
      </w:tcPr>
    </w:tblStylePr>
    <w:tblStylePr w:type="band2Vert">
      <w:rPr>
        <w:color w:val="404040"/>
        <w:sz w:val="22"/>
      </w:rPr>
      <w:tcPr>
        <w:shd w:val="clear" w:color="f2dcdc" w:fill="f2dcdc" w:themeFill="accent2" w:themeFillTint="32"/>
      </w:tcPr>
    </w:tblStylePr>
    <w:tblStylePr w:type="firstCol">
      <w:rPr>
        <w:color w:val="f2f2f2"/>
        <w:sz w:val="22"/>
      </w:rPr>
      <w:tcPr>
        <w:shd w:val="clear" w:color="d99695" w:fill="d99695" w:themeFill="accent2" w:themeFillTint="97"/>
      </w:tcPr>
    </w:tblStylePr>
    <w:tblStylePr w:type="firstRow">
      <w:rPr>
        <w:color w:val="f2f2f2"/>
        <w:sz w:val="22"/>
      </w:rPr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cPr>
        <w:shd w:val="clear" w:color="d99695" w:fill="d99695" w:themeFill="accent2" w:themeFillTint="97"/>
      </w:tcPr>
    </w:tblStylePr>
  </w:style>
  <w:style w:type="table" w:styleId="933" w:customStyle="1">
    <w:name w:val="Lined - Accent 3"/>
    <w:basedOn w:val="825"/>
    <w:uiPriority w:val="99"/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eaf1dc" w:fill="eaf1dc" w:themeFill="accent3" w:themeFillTint="34"/>
      </w:tcPr>
    </w:tblStylePr>
    <w:tblStylePr w:type="band2Vert">
      <w:rPr>
        <w:color w:val="404040"/>
        <w:sz w:val="22"/>
      </w:rPr>
      <w:tcPr>
        <w:shd w:val="clear" w:color="eaf1dc" w:fill="eaf1dc" w:themeFill="accent3" w:themeFillTint="34"/>
      </w:tcPr>
    </w:tblStylePr>
    <w:tblStylePr w:type="firstCol">
      <w:rPr>
        <w:color w:val="f2f2f2"/>
        <w:sz w:val="22"/>
      </w:rPr>
      <w:tcPr>
        <w:shd w:val="clear" w:color="9abb59" w:fill="9abb59" w:themeFill="accent3" w:themeFillTint="FE"/>
      </w:tcPr>
    </w:tblStylePr>
    <w:tblStylePr w:type="firstRow">
      <w:rPr>
        <w:color w:val="f2f2f2"/>
        <w:sz w:val="22"/>
      </w:rPr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cPr>
        <w:shd w:val="clear" w:color="9abb59" w:fill="9abb59" w:themeFill="accent3" w:themeFillTint="FE"/>
      </w:tcPr>
    </w:tblStylePr>
  </w:style>
  <w:style w:type="table" w:styleId="934" w:customStyle="1">
    <w:name w:val="Lined - Accent 4"/>
    <w:basedOn w:val="825"/>
    <w:uiPriority w:val="99"/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e5dfec" w:fill="e5dfec" w:themeFill="accent4" w:themeFillTint="34"/>
      </w:tcPr>
    </w:tblStylePr>
    <w:tblStylePr w:type="band2Vert">
      <w:rPr>
        <w:color w:val="404040"/>
        <w:sz w:val="22"/>
      </w:rPr>
      <w:tcPr>
        <w:shd w:val="clear" w:color="e5dfec" w:fill="e5dfec" w:themeFill="accent4" w:themeFillTint="34"/>
      </w:tcPr>
    </w:tblStylePr>
    <w:tblStylePr w:type="firstCol">
      <w:rPr>
        <w:color w:val="f2f2f2"/>
        <w:sz w:val="22"/>
      </w:rPr>
      <w:tcPr>
        <w:shd w:val="clear" w:color="b2a1c6" w:fill="b2a1c6" w:themeFill="accent4" w:themeFillTint="9A"/>
      </w:tcPr>
    </w:tblStylePr>
    <w:tblStylePr w:type="firstRow">
      <w:rPr>
        <w:color w:val="f2f2f2"/>
        <w:sz w:val="22"/>
      </w:rPr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cPr>
        <w:shd w:val="clear" w:color="b2a1c6" w:fill="b2a1c6" w:themeFill="accent4" w:themeFillTint="9A"/>
      </w:tcPr>
    </w:tblStylePr>
  </w:style>
  <w:style w:type="table" w:styleId="935" w:customStyle="1">
    <w:name w:val="Lined - Accent 5"/>
    <w:basedOn w:val="825"/>
    <w:uiPriority w:val="99"/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daeef3" w:fill="daeef3" w:themeFill="accent5" w:themeFillTint="34"/>
      </w:tcPr>
    </w:tblStylePr>
    <w:tblStylePr w:type="band2Vert">
      <w:rPr>
        <w:color w:val="404040"/>
        <w:sz w:val="22"/>
      </w:rPr>
      <w:tcPr>
        <w:shd w:val="clear" w:color="daeef3" w:fill="daeef3" w:themeFill="accent5" w:themeFillTint="34"/>
      </w:tcPr>
    </w:tblStylePr>
    <w:tblStylePr w:type="firstCol">
      <w:rPr>
        <w:color w:val="f2f2f2"/>
        <w:sz w:val="22"/>
      </w:rPr>
      <w:tcPr>
        <w:shd w:val="clear" w:color="4bacc6" w:fill="4bacc6" w:themeFill="accent5"/>
      </w:tcPr>
    </w:tblStylePr>
    <w:tblStylePr w:type="firstRow">
      <w:rPr>
        <w:color w:val="f2f2f2"/>
        <w:sz w:val="22"/>
      </w:rPr>
      <w:tcPr>
        <w:shd w:val="clear" w:color="4bacc6" w:fill="4bacc6" w:themeFill="accent5"/>
      </w:tcPr>
    </w:tblStylePr>
    <w:tblStylePr w:type="lastCol">
      <w:rPr>
        <w:color w:val="f2f2f2"/>
        <w:sz w:val="22"/>
      </w:rPr>
      <w:tcPr>
        <w:shd w:val="clear" w:color="4bacc6" w:fill="4bacc6" w:themeFill="accent5"/>
      </w:tcPr>
    </w:tblStylePr>
    <w:tblStylePr w:type="lastRow">
      <w:rPr>
        <w:color w:val="f2f2f2"/>
        <w:sz w:val="22"/>
      </w:rPr>
      <w:tcPr>
        <w:shd w:val="clear" w:color="4bacc6" w:fill="4bacc6" w:themeFill="accent5"/>
      </w:tcPr>
    </w:tblStylePr>
  </w:style>
  <w:style w:type="table" w:styleId="936" w:customStyle="1">
    <w:name w:val="Lined - Accent 6"/>
    <w:basedOn w:val="825"/>
    <w:uiPriority w:val="99"/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de9d8" w:fill="fde9d8" w:themeFill="accent6" w:themeFillTint="34"/>
      </w:tcPr>
    </w:tblStylePr>
    <w:tblStylePr w:type="band2Vert">
      <w:rPr>
        <w:color w:val="404040"/>
        <w:sz w:val="22"/>
      </w:rPr>
      <w:tcPr>
        <w:shd w:val="clear" w:color="fde9d8" w:fill="fde9d8" w:themeFill="accent6" w:themeFillTint="34"/>
      </w:tcPr>
    </w:tblStylePr>
    <w:tblStylePr w:type="firstCol">
      <w:rPr>
        <w:color w:val="f2f2f2"/>
        <w:sz w:val="22"/>
      </w:rPr>
      <w:tcPr>
        <w:shd w:val="clear" w:color="f79646" w:fill="f79646" w:themeFill="accent6"/>
      </w:tcPr>
    </w:tblStylePr>
    <w:tblStylePr w:type="firstRow">
      <w:rPr>
        <w:color w:val="f2f2f2"/>
        <w:sz w:val="22"/>
      </w:rPr>
      <w:tcPr>
        <w:shd w:val="clear" w:color="f79646" w:fill="f79646" w:themeFill="accent6"/>
      </w:tcPr>
    </w:tblStylePr>
    <w:tblStylePr w:type="lastCol">
      <w:rPr>
        <w:color w:val="f2f2f2"/>
        <w:sz w:val="22"/>
      </w:rPr>
      <w:tcPr>
        <w:shd w:val="clear" w:color="f79646" w:fill="f79646" w:themeFill="accent6"/>
      </w:tcPr>
    </w:tblStylePr>
    <w:tblStylePr w:type="lastRow">
      <w:rPr>
        <w:color w:val="f2f2f2"/>
        <w:sz w:val="22"/>
      </w:rPr>
      <w:tcPr>
        <w:shd w:val="clear" w:color="f79646" w:fill="f79646" w:themeFill="accent6"/>
      </w:tcPr>
    </w:tblStylePr>
  </w:style>
  <w:style w:type="table" w:styleId="937" w:customStyle="1">
    <w:name w:val="Bordered &amp; Lined - Accent"/>
    <w:basedOn w:val="825"/>
    <w:uiPriority w:val="99"/>
    <w:rPr>
      <w:color w:val="40404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2f2f2" w:fill="f2f2f2" w:themeFill="text1" w:themeFillTint="00"/>
      </w:tcPr>
    </w:tblStylePr>
    <w:tblStylePr w:type="band2Vert">
      <w:rPr>
        <w:color w:val="404040"/>
        <w:sz w:val="22"/>
      </w:rPr>
      <w:tcPr>
        <w:shd w:val="clear" w:color="f2f2f2" w:fill="f2f2f2" w:themeFill="text1" w:themeFillTint="00"/>
      </w:tcPr>
    </w:tblStylePr>
    <w:tblStylePr w:type="firstCol">
      <w:rPr>
        <w:color w:val="f2f2f2"/>
        <w:sz w:val="22"/>
      </w:rPr>
      <w:tcPr>
        <w:shd w:val="clear" w:color="7f7f7f" w:fill="7f7f7f" w:themeFill="text1" w:themeFillTint="80"/>
      </w:tcPr>
    </w:tblStylePr>
    <w:tblStylePr w:type="firstRow">
      <w:rPr>
        <w:color w:val="f2f2f2"/>
        <w:sz w:val="22"/>
      </w:rPr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cPr>
        <w:shd w:val="clear" w:color="7f7f7f" w:fill="7f7f7f" w:themeFill="text1" w:themeFillTint="80"/>
      </w:tcPr>
    </w:tblStylePr>
  </w:style>
  <w:style w:type="table" w:styleId="938" w:customStyle="1">
    <w:name w:val="Bordered &amp; Lined - Accent 1"/>
    <w:basedOn w:val="825"/>
    <w:uiPriority w:val="99"/>
    <w:rPr>
      <w:color w:val="404040"/>
    </w:rPr>
    <w:tblPr>
      <w:tblStyleRowBandSize w:val="1"/>
      <w:tblStyleColBandSize w:val="1"/>
      <w:tblBorders>
        <w:top w:val="single" w:color="2A4A71" w:themeColor="accent1" w:sz="4" w:space="0"/>
        <w:left w:val="single" w:color="2A4A71" w:themeColor="accent1" w:sz="4" w:space="0"/>
        <w:bottom w:val="single" w:color="2A4A71" w:themeColor="accent1" w:sz="4" w:space="0"/>
        <w:right w:val="single" w:color="2A4A71" w:themeColor="accent1" w:sz="4" w:space="0"/>
        <w:insideH w:val="single" w:color="2A4A71" w:themeColor="accent1" w:sz="4" w:space="0"/>
        <w:insideV w:val="single" w:color="2A4A71" w:themeColor="accent1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c7d7ea" w:fill="c7d7ea" w:themeFill="accent1" w:themeFillTint="50"/>
      </w:tcPr>
    </w:tblStylePr>
    <w:tblStylePr w:type="band2Vert">
      <w:rPr>
        <w:color w:val="404040"/>
        <w:sz w:val="22"/>
      </w:rPr>
      <w:tcPr>
        <w:shd w:val="clear" w:color="c7d7ea" w:fill="c7d7ea" w:themeFill="accent1" w:themeFillTint="50"/>
      </w:tcPr>
    </w:tblStylePr>
    <w:tblStylePr w:type="firstCol">
      <w:rPr>
        <w:color w:val="f2f2f2"/>
        <w:sz w:val="22"/>
      </w:rPr>
      <w:tcPr>
        <w:shd w:val="clear" w:color="5d8ac2" w:fill="5d8ac2" w:themeFill="accent1" w:themeFillTint="EA"/>
      </w:tcPr>
    </w:tblStylePr>
    <w:tblStylePr w:type="firstRow">
      <w:rPr>
        <w:color w:val="f2f2f2"/>
        <w:sz w:val="22"/>
      </w:rPr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cPr>
        <w:shd w:val="clear" w:color="5d8ac2" w:fill="5d8ac2" w:themeFill="accent1" w:themeFillTint="EA"/>
      </w:tcPr>
    </w:tblStylePr>
  </w:style>
  <w:style w:type="table" w:styleId="939" w:customStyle="1">
    <w:name w:val="Bordered &amp; Lined - Accent 2"/>
    <w:basedOn w:val="825"/>
    <w:uiPriority w:val="99"/>
    <w:rPr>
      <w:color w:val="404040"/>
    </w:rPr>
    <w:tblPr>
      <w:tblStyleRowBandSize w:val="1"/>
      <w:tblStyleColBandSize w:val="1"/>
      <w:tblBorders>
        <w:top w:val="single" w:color="732A29" w:themeColor="accent2" w:sz="4" w:space="0"/>
        <w:left w:val="single" w:color="732A29" w:themeColor="accent2" w:sz="4" w:space="0"/>
        <w:bottom w:val="single" w:color="732A29" w:themeColor="accent2" w:sz="4" w:space="0"/>
        <w:right w:val="single" w:color="732A29" w:themeColor="accent2" w:sz="4" w:space="0"/>
        <w:insideH w:val="single" w:color="732A29" w:themeColor="accent2" w:sz="4" w:space="0"/>
        <w:insideV w:val="single" w:color="732A29" w:themeColor="accent2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2dcdc" w:fill="f2dcdc" w:themeFill="accent2" w:themeFillTint="32"/>
      </w:tcPr>
    </w:tblStylePr>
    <w:tblStylePr w:type="band2Vert">
      <w:rPr>
        <w:color w:val="404040"/>
        <w:sz w:val="22"/>
      </w:rPr>
      <w:tcPr>
        <w:shd w:val="clear" w:color="f2dcdc" w:fill="f2dcdc" w:themeFill="accent2" w:themeFillTint="32"/>
      </w:tcPr>
    </w:tblStylePr>
    <w:tblStylePr w:type="firstCol">
      <w:rPr>
        <w:color w:val="f2f2f2"/>
        <w:sz w:val="22"/>
      </w:rPr>
      <w:tcPr>
        <w:shd w:val="clear" w:color="d99695" w:fill="d99695" w:themeFill="accent2" w:themeFillTint="97"/>
      </w:tcPr>
    </w:tblStylePr>
    <w:tblStylePr w:type="firstRow">
      <w:rPr>
        <w:color w:val="f2f2f2"/>
        <w:sz w:val="22"/>
      </w:rPr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cPr>
        <w:shd w:val="clear" w:color="d99695" w:fill="d99695" w:themeFill="accent2" w:themeFillTint="97"/>
      </w:tcPr>
    </w:tblStylePr>
  </w:style>
  <w:style w:type="table" w:styleId="940" w:customStyle="1">
    <w:name w:val="Bordered &amp; Lined - Accent 3"/>
    <w:basedOn w:val="825"/>
    <w:uiPriority w:val="99"/>
    <w:rPr>
      <w:color w:val="404040"/>
    </w:rPr>
    <w:tblPr>
      <w:tblStyleRowBandSize w:val="1"/>
      <w:tblStyleColBandSize w:val="1"/>
      <w:tblBorders>
        <w:top w:val="single" w:color="5B722E" w:themeColor="accent3" w:sz="4" w:space="0"/>
        <w:left w:val="single" w:color="5B722E" w:themeColor="accent3" w:sz="4" w:space="0"/>
        <w:bottom w:val="single" w:color="5B722E" w:themeColor="accent3" w:sz="4" w:space="0"/>
        <w:right w:val="single" w:color="5B722E" w:themeColor="accent3" w:sz="4" w:space="0"/>
        <w:insideH w:val="single" w:color="5B722E" w:themeColor="accent3" w:sz="4" w:space="0"/>
        <w:insideV w:val="single" w:color="5B722E" w:themeColor="accent3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eaf1dc" w:fill="eaf1dc" w:themeFill="accent3" w:themeFillTint="34"/>
      </w:tcPr>
    </w:tblStylePr>
    <w:tblStylePr w:type="band2Vert">
      <w:rPr>
        <w:color w:val="404040"/>
        <w:sz w:val="22"/>
      </w:rPr>
      <w:tcPr>
        <w:shd w:val="clear" w:color="eaf1dc" w:fill="eaf1dc" w:themeFill="accent3" w:themeFillTint="34"/>
      </w:tcPr>
    </w:tblStylePr>
    <w:tblStylePr w:type="firstCol">
      <w:rPr>
        <w:color w:val="f2f2f2"/>
        <w:sz w:val="22"/>
      </w:rPr>
      <w:tcPr>
        <w:shd w:val="clear" w:color="9abb59" w:fill="9abb59" w:themeFill="accent3" w:themeFillTint="FE"/>
      </w:tcPr>
    </w:tblStylePr>
    <w:tblStylePr w:type="firstRow">
      <w:rPr>
        <w:color w:val="f2f2f2"/>
        <w:sz w:val="22"/>
      </w:rPr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cPr>
        <w:shd w:val="clear" w:color="9abb59" w:fill="9abb59" w:themeFill="accent3" w:themeFillTint="FE"/>
      </w:tcPr>
    </w:tblStylePr>
  </w:style>
  <w:style w:type="table" w:styleId="941" w:customStyle="1">
    <w:name w:val="Bordered &amp; Lined - Accent 4"/>
    <w:basedOn w:val="825"/>
    <w:uiPriority w:val="99"/>
    <w:rPr>
      <w:color w:val="404040"/>
    </w:rPr>
    <w:tblPr>
      <w:tblStyleRowBandSize w:val="1"/>
      <w:tblStyleColBandSize w:val="1"/>
      <w:tblBorders>
        <w:top w:val="single" w:color="4A395F" w:themeColor="accent4" w:sz="4" w:space="0"/>
        <w:left w:val="single" w:color="4A395F" w:themeColor="accent4" w:sz="4" w:space="0"/>
        <w:bottom w:val="single" w:color="4A395F" w:themeColor="accent4" w:sz="4" w:space="0"/>
        <w:right w:val="single" w:color="4A395F" w:themeColor="accent4" w:sz="4" w:space="0"/>
        <w:insideH w:val="single" w:color="4A395F" w:themeColor="accent4" w:sz="4" w:space="0"/>
        <w:insideV w:val="single" w:color="4A395F" w:themeColor="accent4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e5dfec" w:fill="e5dfec" w:themeFill="accent4" w:themeFillTint="34"/>
      </w:tcPr>
    </w:tblStylePr>
    <w:tblStylePr w:type="band2Vert">
      <w:rPr>
        <w:color w:val="404040"/>
        <w:sz w:val="22"/>
      </w:rPr>
      <w:tcPr>
        <w:shd w:val="clear" w:color="e5dfec" w:fill="e5dfec" w:themeFill="accent4" w:themeFillTint="34"/>
      </w:tcPr>
    </w:tblStylePr>
    <w:tblStylePr w:type="firstCol">
      <w:rPr>
        <w:color w:val="f2f2f2"/>
        <w:sz w:val="22"/>
      </w:rPr>
      <w:tcPr>
        <w:shd w:val="clear" w:color="b2a1c6" w:fill="b2a1c6" w:themeFill="accent4" w:themeFillTint="9A"/>
      </w:tcPr>
    </w:tblStylePr>
    <w:tblStylePr w:type="firstRow">
      <w:rPr>
        <w:color w:val="f2f2f2"/>
        <w:sz w:val="22"/>
      </w:rPr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cPr>
        <w:shd w:val="clear" w:color="b2a1c6" w:fill="b2a1c6" w:themeFill="accent4" w:themeFillTint="9A"/>
      </w:tcPr>
    </w:tblStylePr>
  </w:style>
  <w:style w:type="table" w:styleId="942" w:customStyle="1">
    <w:name w:val="Bordered &amp; Lined - Accent 5"/>
    <w:basedOn w:val="825"/>
    <w:uiPriority w:val="99"/>
    <w:rPr>
      <w:color w:val="404040"/>
    </w:rPr>
    <w:tblPr>
      <w:tblStyleRowBandSize w:val="1"/>
      <w:tblStyleColBandSize w:val="1"/>
      <w:tblBorders>
        <w:top w:val="single" w:color="266779" w:themeColor="accent5" w:sz="4" w:space="0"/>
        <w:left w:val="single" w:color="266779" w:themeColor="accent5" w:sz="4" w:space="0"/>
        <w:bottom w:val="single" w:color="266779" w:themeColor="accent5" w:sz="4" w:space="0"/>
        <w:right w:val="single" w:color="266779" w:themeColor="accent5" w:sz="4" w:space="0"/>
        <w:insideH w:val="single" w:color="266779" w:themeColor="accent5" w:sz="4" w:space="0"/>
        <w:insideV w:val="single" w:color="266779" w:themeColor="accent5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daeef3" w:fill="daeef3" w:themeFill="accent5" w:themeFillTint="34"/>
      </w:tcPr>
    </w:tblStylePr>
    <w:tblStylePr w:type="band2Vert">
      <w:rPr>
        <w:color w:val="404040"/>
        <w:sz w:val="22"/>
      </w:rPr>
      <w:tcPr>
        <w:shd w:val="clear" w:color="daeef3" w:fill="daeef3" w:themeFill="accent5" w:themeFillTint="34"/>
      </w:tcPr>
    </w:tblStylePr>
    <w:tblStylePr w:type="firstCol">
      <w:rPr>
        <w:color w:val="f2f2f2"/>
        <w:sz w:val="22"/>
      </w:rPr>
      <w:tcPr>
        <w:shd w:val="clear" w:color="4bacc6" w:fill="4bacc6" w:themeFill="accent5"/>
      </w:tcPr>
    </w:tblStylePr>
    <w:tblStylePr w:type="firstRow">
      <w:rPr>
        <w:color w:val="f2f2f2"/>
        <w:sz w:val="22"/>
      </w:rPr>
      <w:tcPr>
        <w:shd w:val="clear" w:color="4bacc6" w:fill="4bacc6" w:themeFill="accent5"/>
      </w:tcPr>
    </w:tblStylePr>
    <w:tblStylePr w:type="lastCol">
      <w:rPr>
        <w:color w:val="f2f2f2"/>
        <w:sz w:val="22"/>
      </w:rPr>
      <w:tcPr>
        <w:shd w:val="clear" w:color="4bacc6" w:fill="4bacc6" w:themeFill="accent5"/>
      </w:tcPr>
    </w:tblStylePr>
    <w:tblStylePr w:type="lastRow">
      <w:rPr>
        <w:color w:val="f2f2f2"/>
        <w:sz w:val="22"/>
      </w:rPr>
      <w:tcPr>
        <w:shd w:val="clear" w:color="4bacc6" w:fill="4bacc6" w:themeFill="accent5"/>
      </w:tcPr>
    </w:tblStylePr>
  </w:style>
  <w:style w:type="table" w:styleId="943" w:customStyle="1">
    <w:name w:val="Bordered &amp; Lined - Accent 6"/>
    <w:basedOn w:val="825"/>
    <w:uiPriority w:val="99"/>
    <w:rPr>
      <w:color w:val="404040"/>
    </w:rPr>
    <w:tblPr>
      <w:tblStyleRowBandSize w:val="1"/>
      <w:tblStyleColBandSize w:val="1"/>
      <w:tblBorders>
        <w:top w:val="single" w:color="B15407" w:themeColor="accent6" w:sz="4" w:space="0"/>
        <w:left w:val="single" w:color="B15407" w:themeColor="accent6" w:sz="4" w:space="0"/>
        <w:bottom w:val="single" w:color="B15407" w:themeColor="accent6" w:sz="4" w:space="0"/>
        <w:right w:val="single" w:color="B15407" w:themeColor="accent6" w:sz="4" w:space="0"/>
        <w:insideH w:val="single" w:color="B15407" w:themeColor="accent6" w:sz="4" w:space="0"/>
        <w:insideV w:val="single" w:color="B15407" w:themeColor="accent6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de9d8" w:fill="fde9d8" w:themeFill="accent6" w:themeFillTint="34"/>
      </w:tcPr>
    </w:tblStylePr>
    <w:tblStylePr w:type="band2Vert">
      <w:rPr>
        <w:color w:val="404040"/>
        <w:sz w:val="22"/>
      </w:rPr>
      <w:tcPr>
        <w:shd w:val="clear" w:color="fde9d8" w:fill="fde9d8" w:themeFill="accent6" w:themeFillTint="34"/>
      </w:tcPr>
    </w:tblStylePr>
    <w:tblStylePr w:type="firstCol">
      <w:rPr>
        <w:color w:val="f2f2f2"/>
        <w:sz w:val="22"/>
      </w:rPr>
      <w:tcPr>
        <w:shd w:val="clear" w:color="f79646" w:fill="f79646" w:themeFill="accent6"/>
      </w:tcPr>
    </w:tblStylePr>
    <w:tblStylePr w:type="firstRow">
      <w:rPr>
        <w:color w:val="f2f2f2"/>
        <w:sz w:val="22"/>
      </w:rPr>
      <w:tcPr>
        <w:shd w:val="clear" w:color="f79646" w:fill="f79646" w:themeFill="accent6"/>
      </w:tcPr>
    </w:tblStylePr>
    <w:tblStylePr w:type="lastCol">
      <w:rPr>
        <w:color w:val="f2f2f2"/>
        <w:sz w:val="22"/>
      </w:rPr>
      <w:tcPr>
        <w:shd w:val="clear" w:color="f79646" w:fill="f79646" w:themeFill="accent6"/>
      </w:tcPr>
    </w:tblStylePr>
    <w:tblStylePr w:type="lastRow">
      <w:rPr>
        <w:color w:val="f2f2f2"/>
        <w:sz w:val="22"/>
      </w:rPr>
      <w:tcPr>
        <w:shd w:val="clear" w:color="f79646" w:fill="f79646" w:themeFill="accent6"/>
      </w:tcPr>
    </w:tblStylePr>
  </w:style>
  <w:style w:type="table" w:styleId="944" w:customStyle="1">
    <w:name w:val="Bordered"/>
    <w:basedOn w:val="825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color w:val="404040"/>
        <w:sz w:val="22"/>
      </w:rPr>
      <w:tcPr>
        <w:tcBorders>
          <w:top w:val="single" w:color="D9D9D9" w:themeColor="text1" w:sz="4" w:space="0"/>
          <w:left w:val="single" w:color="D9D9D9" w:themeColor="text1" w:sz="4" w:space="0"/>
          <w:bottom w:val="single" w:color="D9D9D9" w:themeColor="text1" w:sz="4" w:space="0"/>
          <w:right w:val="single" w:color="D9D9D9" w:themeColor="text1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7F7F7F" w:themeColor="text1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7F7F7F" w:themeColor="text1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7F7F7F" w:themeColor="text1" w:sz="12" w:space="0"/>
        </w:tcBorders>
      </w:tcPr>
    </w:tblStylePr>
  </w:style>
  <w:style w:type="table" w:styleId="945" w:customStyle="1">
    <w:name w:val="Bordered - Accent 1"/>
    <w:basedOn w:val="825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B7CBE4" w:themeColor="accent1" w:sz="4" w:space="0"/>
          <w:left w:val="single" w:color="B7CBE4" w:themeColor="accent1" w:sz="4" w:space="0"/>
          <w:bottom w:val="single" w:color="B7CBE4" w:themeColor="accent1" w:sz="4" w:space="0"/>
          <w:right w:val="single" w:color="B7CBE4" w:themeColor="accent1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946" w:customStyle="1">
    <w:name w:val="Bordered - Accent 2"/>
    <w:basedOn w:val="825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E5B7B6" w:themeColor="accent2" w:sz="4" w:space="0"/>
          <w:left w:val="single" w:color="E5B7B6" w:themeColor="accent2" w:sz="4" w:space="0"/>
          <w:bottom w:val="single" w:color="E5B7B6" w:themeColor="accent2" w:sz="4" w:space="0"/>
          <w:right w:val="single" w:color="E5B7B6" w:themeColor="accent2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D99695" w:themeColor="accent2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D99695" w:themeColor="accent2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D99695" w:themeColor="accent2" w:sz="12" w:space="0"/>
        </w:tcBorders>
      </w:tcPr>
    </w:tblStylePr>
  </w:style>
  <w:style w:type="table" w:styleId="947" w:customStyle="1">
    <w:name w:val="Bordered - Accent 3"/>
    <w:basedOn w:val="825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D6E3BB" w:themeColor="accent3" w:sz="4" w:space="0"/>
          <w:left w:val="single" w:color="D6E3BB" w:themeColor="accent3" w:sz="4" w:space="0"/>
          <w:bottom w:val="single" w:color="D6E3BB" w:themeColor="accent3" w:sz="4" w:space="0"/>
          <w:right w:val="single" w:color="D6E3BB" w:themeColor="accent3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C3D69B" w:themeColor="accent3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C3D69B" w:themeColor="accent3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C3D69B" w:themeColor="accent3" w:sz="12" w:space="0"/>
        </w:tcBorders>
      </w:tcPr>
    </w:tblStylePr>
  </w:style>
  <w:style w:type="table" w:styleId="948" w:customStyle="1">
    <w:name w:val="Bordered - Accent 4"/>
    <w:basedOn w:val="825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CBC0D9" w:themeColor="accent4" w:sz="4" w:space="0"/>
          <w:left w:val="single" w:color="CBC0D9" w:themeColor="accent4" w:sz="4" w:space="0"/>
          <w:bottom w:val="single" w:color="CBC0D9" w:themeColor="accent4" w:sz="4" w:space="0"/>
          <w:right w:val="single" w:color="CBC0D9" w:themeColor="accent4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B2A1C6" w:themeColor="accent4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B2A1C6" w:themeColor="accent4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B2A1C6" w:themeColor="accent4" w:sz="12" w:space="0"/>
        </w:tcBorders>
      </w:tcPr>
    </w:tblStylePr>
  </w:style>
  <w:style w:type="table" w:styleId="949" w:customStyle="1">
    <w:name w:val="Bordered - Accent 5"/>
    <w:basedOn w:val="825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B6DDE8" w:themeColor="accent5" w:sz="4" w:space="0"/>
          <w:left w:val="single" w:color="B6DDE8" w:themeColor="accent5" w:sz="4" w:space="0"/>
          <w:bottom w:val="single" w:color="B6DDE8" w:themeColor="accent5" w:sz="4" w:space="0"/>
          <w:right w:val="single" w:color="B6DDE8" w:themeColor="accent5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92CCDC" w:themeColor="accent5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92CCDC" w:themeColor="accent5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92CCDC" w:themeColor="accent5" w:sz="12" w:space="0"/>
        </w:tcBorders>
      </w:tcPr>
    </w:tblStylePr>
  </w:style>
  <w:style w:type="table" w:styleId="950" w:customStyle="1">
    <w:name w:val="Bordered - Accent 6"/>
    <w:basedOn w:val="825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FBD4B4" w:themeColor="accent6" w:sz="4" w:space="0"/>
          <w:left w:val="single" w:color="FBD4B4" w:themeColor="accent6" w:sz="4" w:space="0"/>
          <w:bottom w:val="single" w:color="FBD4B4" w:themeColor="accent6" w:sz="4" w:space="0"/>
          <w:right w:val="single" w:color="FBD4B4" w:themeColor="accent6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FAC090" w:themeColor="accent6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FAC090" w:themeColor="accent6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FAC090" w:themeColor="accent6" w:sz="12" w:space="0"/>
        </w:tcBorders>
      </w:tcPr>
    </w:tblStylePr>
  </w:style>
  <w:style w:type="table" w:styleId="951">
    <w:name w:val="Table Grid"/>
    <w:basedOn w:val="825"/>
    <w:uiPriority w:val="59"/>
    <w:rPr>
      <w:sz w:val="22"/>
      <w:szCs w:val="22"/>
      <w:lang w:eastAsia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yperlink" Target="https://www.rts-tender.ru/" TargetMode="External"/><Relationship Id="rId10" Type="http://schemas.openxmlformats.org/officeDocument/2006/relationships/hyperlink" Target="http://www.rts-tender.ru/" TargetMode="External"/><Relationship Id="rId11" Type="http://schemas.openxmlformats.org/officeDocument/2006/relationships/hyperlink" Target="http://www.rts-tender.ru" TargetMode="External"/><Relationship Id="rId12" Type="http://schemas.openxmlformats.org/officeDocument/2006/relationships/hyperlink" Target="https://www.rts-tender.ru/" TargetMode="External"/><Relationship Id="rId13" Type="http://schemas.openxmlformats.org/officeDocument/2006/relationships/hyperlink" Target="http://www.rts-tender.ru/" TargetMode="External"/><Relationship Id="rId14" Type="http://schemas.openxmlformats.org/officeDocument/2006/relationships/hyperlink" Target="https://www.rts-tender.ru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Р7-Офис/2024.2.1.466</Application>
  <Company>Grizli777</Company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dc:description/>
  <dc:language>ru-RU</dc:language>
  <cp:revision>47</cp:revision>
  <dcterms:created xsi:type="dcterms:W3CDTF">2023-10-31T06:24:00Z</dcterms:created>
  <dcterms:modified xsi:type="dcterms:W3CDTF">2025-03-14T09:21:15Z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A6359D14764B43E9BA567EF3ABEF27A6</vt:lpwstr>
  </property>
  <property fmtid="{D5CDD505-2E9C-101B-9397-08002B2CF9AE}" pid="3" name="KSOProductBuildVer">
    <vt:lpwstr>1049-11.2.0.11516</vt:lpwstr>
  </property>
</Properties>
</file>