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46"/>
        <w:ind w:left="5245" w:firstLine="0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 _________________ № _______</w:t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746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ind w:firstLine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15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</w:rPr>
        <w:t xml:space="preserve">29 октября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13 марта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412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</w:t>
      </w:r>
      <w:r>
        <w:rPr>
          <w:rFonts w:ascii="Times New Roman" w:hAnsi="Times New Roman"/>
          <w:color w:val="000000"/>
          <w:sz w:val="22"/>
          <w:szCs w:val="22"/>
        </w:rPr>
        <w:t xml:space="preserve">3г».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адрес</w:t>
      </w:r>
      <w:r>
        <w:rPr>
          <w:rFonts w:ascii="Times New Roman" w:hAnsi="Times New Roman"/>
          <w:color w:val="000000"/>
          <w:sz w:val="22"/>
          <w:szCs w:val="22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Локомотивная</w:t>
      </w:r>
      <w:r>
        <w:rPr>
          <w:rFonts w:ascii="Times New Roman" w:hAnsi="Times New Roman"/>
          <w:color w:val="000000"/>
          <w:sz w:val="22"/>
          <w:szCs w:val="22"/>
        </w:rPr>
        <w:t xml:space="preserve">, земельный участок 3г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площадь: 3046</w:t>
      </w:r>
      <w:r>
        <w:rPr>
          <w:rFonts w:ascii="Times New Roman" w:hAnsi="Times New Roman"/>
          <w:sz w:val="22"/>
          <w:szCs w:val="22"/>
        </w:rPr>
        <w:t xml:space="preserve"> кв.м;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кадастровый номер: 44:27:061202</w:t>
      </w:r>
      <w:r>
        <w:rPr>
          <w:rFonts w:ascii="Times New Roman" w:hAnsi="Times New Roman"/>
          <w:sz w:val="22"/>
          <w:szCs w:val="22"/>
        </w:rPr>
        <w:t xml:space="preserve">:</w:t>
      </w:r>
      <w:r>
        <w:rPr>
          <w:rFonts w:ascii="Times New Roman" w:hAnsi="Times New Roman"/>
          <w:sz w:val="22"/>
          <w:szCs w:val="22"/>
        </w:rPr>
        <w:t xml:space="preserve">695;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разрешенное использ</w:t>
      </w:r>
      <w:r>
        <w:rPr>
          <w:rFonts w:ascii="Times New Roman" w:hAnsi="Times New Roman"/>
          <w:sz w:val="22"/>
          <w:szCs w:val="22"/>
        </w:rPr>
        <w:t xml:space="preserve">ов</w:t>
      </w:r>
      <w:r>
        <w:rPr>
          <w:rFonts w:ascii="Times New Roman" w:hAnsi="Times New Roman"/>
          <w:sz w:val="22"/>
          <w:szCs w:val="22"/>
        </w:rPr>
        <w:t xml:space="preserve">ан</w:t>
      </w:r>
      <w:r>
        <w:rPr>
          <w:rFonts w:ascii="Times New Roman" w:hAnsi="Times New Roman"/>
          <w:sz w:val="22"/>
          <w:szCs w:val="22"/>
        </w:rPr>
        <w:t xml:space="preserve">и</w:t>
      </w:r>
      <w:r>
        <w:rPr>
          <w:rFonts w:ascii="Times New Roman" w:hAnsi="Times New Roman"/>
          <w:sz w:val="22"/>
          <w:szCs w:val="22"/>
        </w:rPr>
        <w:t xml:space="preserve">е: </w:t>
      </w:r>
      <w:r>
        <w:rPr>
          <w:rFonts w:ascii="Times New Roman" w:hAnsi="Times New Roman"/>
          <w:sz w:val="22"/>
          <w:szCs w:val="22"/>
        </w:rPr>
        <w:t xml:space="preserve">общественное управление, деловое управление, банковская и страховая деятельность, обеспечение внутреннего правопорядка, гостиничное обслуживание, магазины, бытовое обслуживание, спорт, культурное развитие, развлечения, социальное обслуживание, коммунальное</w:t>
      </w:r>
      <w:r>
        <w:rPr>
          <w:rFonts w:ascii="Times New Roman" w:hAnsi="Times New Roman"/>
          <w:sz w:val="22"/>
          <w:szCs w:val="22"/>
        </w:rPr>
        <w:t xml:space="preserve"> обслуживание, автомобильный транспорт, служебные гаражи, выставочно-ярмарочная деятельность, объекты дорожного сервиса</w:t>
      </w:r>
      <w:r>
        <w:rPr>
          <w:rFonts w:ascii="Times New Roman" w:hAnsi="Times New Roman"/>
          <w:sz w:val="22"/>
          <w:szCs w:val="22"/>
        </w:rPr>
        <w:t xml:space="preserve">;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2"/>
          <w:szCs w:val="22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2"/>
          <w:szCs w:val="22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охранная зона объекта "КЛ-0,4кВ от ТП-798 ООО Лагуна,ул.Лок.2В (КЛ 0,4 кВ ТП 798 - ул.Локомативная, д.2 в)", расположенного по адресу: Россия, Костромска</w:t>
      </w:r>
      <w:r>
        <w:rPr>
          <w:rFonts w:ascii="Times New Roman" w:hAnsi="Times New Roman"/>
          <w:sz w:val="22"/>
          <w:szCs w:val="22"/>
          <w:highlight w:val="white"/>
        </w:rPr>
        <w:t xml:space="preserve">я область, г. Кострома (</w:t>
      </w:r>
      <w:r>
        <w:rPr>
          <w:rFonts w:ascii="Times New Roman" w:hAnsi="Times New Roman"/>
          <w:sz w:val="22"/>
          <w:szCs w:val="22"/>
          <w:highlight w:val="white"/>
        </w:rPr>
        <w:t xml:space="preserve">зона с особыми условиями использов</w:t>
      </w:r>
      <w:r>
        <w:rPr>
          <w:rFonts w:ascii="Times New Roman" w:hAnsi="Times New Roman"/>
          <w:sz w:val="22"/>
          <w:szCs w:val="22"/>
          <w:highlight w:val="white"/>
        </w:rPr>
        <w:t xml:space="preserve">ания территории с реестровым номером </w:t>
      </w:r>
      <w:r>
        <w:rPr>
          <w:rFonts w:ascii="Times New Roman" w:hAnsi="Times New Roman"/>
          <w:sz w:val="22"/>
          <w:szCs w:val="22"/>
          <w:highlight w:val="white"/>
        </w:rPr>
        <w:t xml:space="preserve">44:27-6.7141</w:t>
      </w:r>
      <w:r>
        <w:rPr>
          <w:rFonts w:ascii="Times New Roman" w:hAnsi="Times New Roman"/>
          <w:sz w:val="22"/>
          <w:szCs w:val="22"/>
          <w:highlight w:val="white"/>
        </w:rPr>
        <w:t xml:space="preserve">);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строительства: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общественное управление</w:t>
      </w:r>
      <w:r>
        <w:rPr>
          <w:rFonts w:ascii="Times New Roman" w:hAnsi="Times New Roman"/>
          <w:sz w:val="22"/>
          <w:szCs w:val="22"/>
        </w:rPr>
        <w:t xml:space="preserve">: максимальный процент застройки земельного участка</w:t>
      </w:r>
      <w:r>
        <w:rPr>
          <w:rFonts w:ascii="Times New Roman" w:hAnsi="Times New Roman"/>
          <w:sz w:val="22"/>
          <w:szCs w:val="22"/>
          <w:highlight w:val="white"/>
        </w:rPr>
        <w:t xml:space="preserve">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</w:t>
      </w:r>
      <w:r>
        <w:rPr>
          <w:rFonts w:ascii="Times New Roman" w:hAnsi="Times New Roman"/>
          <w:sz w:val="22"/>
          <w:szCs w:val="22"/>
          <w:highlight w:val="white"/>
        </w:rPr>
        <w:t xml:space="preserve">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8;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деловое управление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банковская и страховая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обеспечение внутреннего правопорядка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гостиничное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8;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none"/>
        </w:rPr>
        <w:t xml:space="preserve">магазины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40; предельное количество этажей – 3; минимальный отступ от гр</w:t>
      </w:r>
      <w:r>
        <w:rPr>
          <w:rFonts w:ascii="Times New Roman" w:hAnsi="Times New Roman"/>
          <w:sz w:val="22"/>
          <w:szCs w:val="22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бытовое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5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спорт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культурное развитие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3;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развлечения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</w:t>
      </w:r>
      <w:r>
        <w:rPr>
          <w:rFonts w:ascii="Times New Roman" w:hAnsi="Times New Roman"/>
          <w:sz w:val="22"/>
          <w:szCs w:val="22"/>
          <w:highlight w:val="white"/>
        </w:rPr>
        <w:t xml:space="preserve">ки земельного участка – 5</w:t>
      </w:r>
      <w:r>
        <w:rPr>
          <w:rFonts w:ascii="Times New Roman" w:hAnsi="Times New Roman"/>
          <w:sz w:val="22"/>
          <w:szCs w:val="22"/>
          <w:highlight w:val="white"/>
        </w:rPr>
        <w:t xml:space="preserve">0;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4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социальное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3;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коммунальное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обслуживание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автомобильный транспорт -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  <w:t xml:space="preserve">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  <w:t xml:space="preserve">4;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служебные гаражи</w:t>
      </w:r>
      <w:r>
        <w:rPr>
          <w:rFonts w:ascii="Times New Roman" w:hAnsi="Times New Roman"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</w:t>
      </w:r>
      <w:r>
        <w:rPr>
          <w:rFonts w:ascii="Times New Roman" w:hAnsi="Times New Roman"/>
          <w:sz w:val="22"/>
          <w:szCs w:val="22"/>
          <w:highlight w:val="white"/>
        </w:rPr>
        <w:t xml:space="preserve">ройки земельного участка – 50</w:t>
      </w:r>
      <w:r>
        <w:rPr>
          <w:rFonts w:ascii="Times New Roman" w:hAnsi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/>
          <w:sz w:val="22"/>
          <w:szCs w:val="22"/>
          <w:highlight w:val="white"/>
        </w:rPr>
        <w:t xml:space="preserve">предельное количество этажей – 3</w:t>
      </w:r>
      <w:r>
        <w:rPr>
          <w:rFonts w:ascii="Times New Roman" w:hAnsi="Times New Roman"/>
          <w:sz w:val="22"/>
          <w:szCs w:val="22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3</w:t>
      </w:r>
      <w:r>
        <w:rPr>
          <w:rFonts w:ascii="Times New Roman" w:hAnsi="Times New Roman"/>
          <w:sz w:val="22"/>
          <w:szCs w:val="22"/>
          <w:highlight w:val="white"/>
        </w:rPr>
        <w:t xml:space="preserve"> м;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выставочно – ярмарочная деятельность</w:t>
      </w:r>
      <w:r>
        <w:rPr>
          <w:rFonts w:ascii="Times New Roman" w:hAnsi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/>
          <w:sz w:val="22"/>
          <w:szCs w:val="22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sz w:val="22"/>
          <w:szCs w:val="22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2"/>
          <w:szCs w:val="22"/>
          <w:highlight w:val="white"/>
        </w:rPr>
        <w:t xml:space="preserve">5;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объекты дорожного сервиса</w:t>
      </w:r>
      <w:r>
        <w:rPr>
          <w:rFonts w:ascii="Times New Roman" w:hAnsi="Times New Roman"/>
          <w:sz w:val="22"/>
          <w:szCs w:val="22"/>
          <w:highlight w:val="white"/>
        </w:rPr>
        <w:t xml:space="preserve">: максимальный процент застройки земельного участка – 50;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pStyle w:val="746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5307д, от </w:t>
      </w:r>
      <w:r>
        <w:rPr>
          <w:rFonts w:ascii="Times New Roman" w:hAnsi="Times New Roman"/>
          <w:sz w:val="22"/>
          <w:szCs w:val="22"/>
        </w:rPr>
        <w:t xml:space="preserve">26.</w:t>
      </w:r>
      <w:r>
        <w:rPr>
          <w:rFonts w:ascii="Times New Roman" w:hAnsi="Times New Roman"/>
          <w:sz w:val="22"/>
          <w:szCs w:val="22"/>
        </w:rPr>
        <w:t xml:space="preserve">07.2023 № исх.02.11/</w:t>
      </w:r>
      <w:r>
        <w:rPr>
          <w:rFonts w:ascii="Times New Roman" w:hAnsi="Times New Roman"/>
          <w:sz w:val="22"/>
          <w:szCs w:val="22"/>
        </w:rPr>
        <w:t xml:space="preserve">5288д; газоснабжение от АО «Газпром газораспределение Кострома» от </w:t>
      </w:r>
      <w:r>
        <w:rPr>
          <w:rFonts w:ascii="Times New Roman" w:hAnsi="Times New Roman"/>
          <w:sz w:val="22"/>
          <w:szCs w:val="22"/>
        </w:rPr>
        <w:t xml:space="preserve">25.</w:t>
      </w:r>
      <w:r>
        <w:rPr>
          <w:rFonts w:ascii="Times New Roman" w:hAnsi="Times New Roman"/>
          <w:sz w:val="22"/>
          <w:szCs w:val="22"/>
        </w:rPr>
        <w:t xml:space="preserve">07.2023 № 15/</w:t>
      </w:r>
      <w:r>
        <w:rPr>
          <w:rFonts w:ascii="Times New Roman" w:hAnsi="Times New Roman"/>
          <w:sz w:val="22"/>
          <w:szCs w:val="22"/>
        </w:rPr>
        <w:t xml:space="preserve">382, теплоснабжение от </w:t>
      </w:r>
      <w:r>
        <w:rPr>
          <w:rFonts w:ascii="Times New Roman" w:hAnsi="Times New Roman"/>
          <w:sz w:val="22"/>
          <w:szCs w:val="22"/>
        </w:rPr>
        <w:t xml:space="preserve">ПАО «ТГК-2»</w:t>
      </w:r>
      <w:r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 xml:space="preserve">07.</w:t>
      </w:r>
      <w:r>
        <w:rPr>
          <w:rFonts w:ascii="Times New Roman" w:hAnsi="Times New Roman"/>
          <w:sz w:val="22"/>
          <w:szCs w:val="22"/>
        </w:rPr>
        <w:t xml:space="preserve">12.2023 № </w:t>
      </w:r>
      <w:r>
        <w:rPr>
          <w:rFonts w:ascii="Times New Roman" w:hAnsi="Times New Roman"/>
          <w:sz w:val="22"/>
          <w:szCs w:val="22"/>
        </w:rPr>
        <w:t xml:space="preserve">4201/2095-2023, от МУП г.Костромы «Городские сети» от 01.02.2024 №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13-01/00342; 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начальный размер ежегодной арендной платы: 1 690 800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шестьсот девяносто тысяч восемьсот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шаг аукциона: 50 700</w:t>
      </w:r>
      <w:r>
        <w:rPr>
          <w:rFonts w:ascii="Times New Roman" w:hAnsi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/>
          <w:sz w:val="22"/>
          <w:szCs w:val="22"/>
          <w:highlight w:val="white"/>
        </w:rPr>
        <w:t xml:space="preserve">Пятьдесят тысяч </w:t>
      </w:r>
      <w:r>
        <w:rPr>
          <w:rFonts w:ascii="Times New Roman" w:hAnsi="Times New Roman"/>
          <w:sz w:val="22"/>
          <w:szCs w:val="22"/>
          <w:highlight w:val="white"/>
        </w:rPr>
        <w:t xml:space="preserve">семьсот) рублей;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- размер задатка: </w:t>
      </w:r>
      <w:r>
        <w:rPr>
          <w:rFonts w:ascii="Times New Roman" w:hAnsi="Times New Roman"/>
          <w:sz w:val="22"/>
          <w:szCs w:val="22"/>
          <w:highlight w:val="white"/>
        </w:rPr>
        <w:t xml:space="preserve">1 690 800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(Один миллион шестьсот девяносто тысяч восемьсот</w:t>
      </w:r>
      <w:r>
        <w:rPr>
          <w:rFonts w:ascii="Times New Roman" w:hAnsi="Times New Roman"/>
          <w:sz w:val="22"/>
          <w:szCs w:val="22"/>
          <w:highlight w:val="white"/>
        </w:rPr>
        <w:t xml:space="preserve">)</w:t>
      </w:r>
      <w:r>
        <w:rPr>
          <w:rFonts w:ascii="Times New Roman" w:hAnsi="Times New Roman"/>
          <w:sz w:val="22"/>
          <w:szCs w:val="22"/>
          <w:highlight w:val="white"/>
        </w:rPr>
        <w:t xml:space="preserve"> рублей</w:t>
      </w:r>
      <w:r>
        <w:rPr>
          <w:rFonts w:ascii="Times New Roman" w:hAnsi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74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13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27 сентября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13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27 октября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74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74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28</w:t>
      </w:r>
      <w:r>
        <w:rPr>
          <w:rFonts w:ascii="Times New Roman" w:hAnsi="Times New Roman"/>
          <w:b/>
          <w:bCs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октября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74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28 октября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74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29 октября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undefined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  <w:lang w:eastAsia="en-US"/>
        </w:rPr>
        <w:t xml:space="preserve">Отказ от проведения аукциона: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Уполномоченный орган может приня</w:t>
      </w:r>
      <w:r>
        <w:rPr>
          <w:rFonts w:ascii="Times New Roman" w:hAnsi="Times New Roman"/>
          <w:sz w:val="22"/>
          <w:szCs w:val="22"/>
          <w:lang w:eastAsia="en-US"/>
        </w:rPr>
        <w:t xml:space="preserve">ть решение об отказе в проведении аукциона в случае выявления обстоятельств, предусмотренных п. 8 ст. 39.11 Кодекса. Извещение об отказе в проведении аукциона размещается на официальном сайте в течение 3-х дней со дня принятия данного решения.</w:t>
      </w:r>
      <w:r>
        <w:rPr>
          <w:sz w:val="22"/>
          <w:szCs w:val="22"/>
          <w14:ligatures w14:val="none"/>
        </w:rPr>
      </w:r>
      <w:r>
        <w:rPr>
          <w:sz w:val="22"/>
          <w:szCs w:val="22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многофункциональной 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:lang w:val="ru-RU"/>
        </w:rPr>
        <w:t xml:space="preserve">общественно – деловой зоне Д-1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beforeAutospacing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«2.1. Градостроительный регламент многофункциональной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общественно-деловой зоны Д-1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2.1.1. Многофункциональная общественно-деловая зона Д-1, включая подзоны Д-1.1, Д-1.2, Д-1.3, Д-1.4, Д-1.5, Д-1.6, Д-1.7, Д-1.8 (далее - зона Д-1), выделяется в целях установления правового режима использования и строительства (реконструкции) объектов капи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тального строительства с широким спектром административных, деловых, общественных, культурных, обслуживающих и коммерческих видов использования. Разрешается размещение административных объектов федерального, регионального и местного значения.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пределах зоны Д-1 допускается размещать объекты бытового обслуживания населения, не имеющие санитарно-защитной зоны, преимущественно встроенные и (или) встроенно-пристроенные. Также допускается размещать объекты производственной деятельности V класса опа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сности.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2.1.3.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основные виды разрешенного использования и соответствующие каж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Среднее и высшее профессиональное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- 1,2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Д-1 - 32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- 1,5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 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Культурное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кодами 4.5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4.8.2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по Классификатору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Развлечения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размеры земельных участков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2.1.4.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условно разрешенные виды использования и соответствующие каждо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этажа: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Пищевая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Связь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Среднеэтажная жилая застройка,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за исключением Д-1.1, Д-1-2, Д-1.3, Д-1.7, Д-1.8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многоквартирные дома этажностью не выше восьми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на одну квартиру - 0,004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2.1.5. Для земельных участков и объектов капитального строительства, расположенных в пределах зоны Д-1 (подзон Д-1.1, Д-1.2, Д-1.3, Д-1.4, Д-1.5, Д-1.6, Д-1.7, Д-1.8)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0"/>
        <w:gridCol w:w="7815"/>
        <w:gridCol w:w="7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среднеэтажной жилой застройки: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благоустройство и озеленение;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подземных гаражей и наземных автостоянок;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20 процентов от обще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й площади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торговых центров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88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2.1.6. Иные параметры, применяемые к объектам и территориям, расположенным в подзонах зоны Д-1: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(коммунальные объекты) - 10 процентов от общей площади территории подзон зоны Д-1.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Для подзоны Д-1.1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, при максимальных параметрах объекта (длина/ширина) 15,0 м x 20,0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left"/>
        <w:spacing w:before="0" w:beforeAutospacing="0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sz w:val="22"/>
          <w:szCs w:val="22"/>
        </w:rPr>
        <w:br w:type="page" w:clear="all"/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ФОРМА</w:t>
      </w:r>
      <w:r>
        <w:rPr>
          <w:b/>
          <w:sz w:val="22"/>
          <w:szCs w:val="22"/>
          <w:lang w:eastAsia="zh-CN"/>
        </w:rPr>
        <w:t xml:space="preserve"> </w:t>
      </w:r>
      <w:r>
        <w:rPr>
          <w:b/>
          <w:sz w:val="22"/>
          <w:szCs w:val="22"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b/>
          <w:sz w:val="22"/>
          <w:szCs w:val="22"/>
          <w:lang w:eastAsia="zh-CN"/>
        </w:rPr>
        <w:t xml:space="preserve">Заявитель</w:t>
      </w:r>
      <w:r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  <w:pBdr>
          <w:bottom w:val="single" w:color="000000" w:sz="4" w:space="1"/>
        </w:pBd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           </w:t>
      </w: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2"/>
          <w:szCs w:val="22"/>
          <w:lang w:eastAsia="zh-CN"/>
        </w:rPr>
        <w:br w:type="textWrapping" w:clear="all"/>
      </w:r>
      <w:r>
        <w:rPr>
          <w:bCs/>
          <w:sz w:val="22"/>
          <w:szCs w:val="22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sz w:val="22"/>
          <w:szCs w:val="22"/>
        </w:rPr>
        <w:pBdr>
          <w:bottom w:val="single" w:color="000000" w:sz="4" w:space="1"/>
        </w:pBdr>
      </w:pPr>
      <w:r>
        <w:rPr>
          <w:b/>
          <w:sz w:val="22"/>
          <w:szCs w:val="22"/>
          <w:lang w:eastAsia="zh-CN"/>
        </w:rPr>
        <w:t xml:space="preserve">в лице</w:t>
      </w:r>
      <w:r>
        <w:rPr>
          <w:sz w:val="22"/>
          <w:szCs w:val="22"/>
          <w:lang w:eastAsia="zh-CN"/>
        </w:rPr>
        <w:t xml:space="preserve"> </w:t>
        <w:tab/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center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bCs/>
          <w:sz w:val="22"/>
          <w:szCs w:val="22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2"/>
          <w:szCs w:val="22"/>
          <w:lang w:eastAsia="zh-CN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jc w:val="both"/>
        <w:rPr>
          <w:b/>
          <w:bCs/>
          <w:sz w:val="22"/>
          <w:szCs w:val="22"/>
        </w:rPr>
        <w:pBdr>
          <w:bottom w:val="single" w:color="000000" w:sz="4" w:space="1"/>
        </w:pBdr>
      </w:pPr>
      <w:r>
        <w:rPr>
          <w:b/>
          <w:bCs/>
          <w:sz w:val="22"/>
          <w:szCs w:val="22"/>
          <w:lang w:eastAsia="zh-CN"/>
        </w:rPr>
        <w:t xml:space="preserve">действующего на основании</w:t>
      </w:r>
      <w:r>
        <w:rPr>
          <w:rStyle w:val="783"/>
          <w:b/>
          <w:bCs/>
          <w:sz w:val="22"/>
          <w:szCs w:val="22"/>
          <w:vertAlign w:val="superscript"/>
          <w:lang w:eastAsia="zh-CN"/>
        </w:rPr>
        <w:footnoteReference w:id="2"/>
      </w:r>
      <w:r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746"/>
        <w:jc w:val="center"/>
        <w:rPr>
          <w:b/>
          <w:sz w:val="22"/>
          <w:szCs w:val="22"/>
        </w:rPr>
      </w:pPr>
      <w:r>
        <w:rPr>
          <w:sz w:val="22"/>
          <w:szCs w:val="22"/>
          <w:lang w:eastAsia="zh-CN"/>
        </w:rPr>
        <w:t xml:space="preserve">(</w:t>
      </w:r>
      <w:r>
        <w:rPr>
          <w:sz w:val="22"/>
          <w:szCs w:val="22"/>
          <w:lang w:eastAsia="zh-CN"/>
        </w:rPr>
        <w:t xml:space="preserve">Устав, Положение, Соглашение, Доверенности и т.д</w:t>
      </w:r>
      <w:r>
        <w:rPr>
          <w:sz w:val="22"/>
          <w:szCs w:val="22"/>
          <w:lang w:eastAsia="zh-CN"/>
        </w:rPr>
        <w:t xml:space="preserve">.)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</w:t>
            </w:r>
            <w:r>
              <w:rPr>
                <w:sz w:val="22"/>
                <w:szCs w:val="22"/>
                <w:lang w:eastAsia="zh-CN"/>
              </w:rPr>
              <w:t xml:space="preserve">_______________</w:t>
            </w:r>
            <w:r>
              <w:rPr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1179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46"/>
              <w:widowControl w:val="off"/>
              <w:rPr>
                <w:rFonts w:eastAsia="Calibri"/>
                <w:sz w:val="22"/>
                <w:szCs w:val="22"/>
              </w:rPr>
              <w:pBdr>
                <w:bottom w:val="single" w:color="000000" w:sz="4" w:space="1"/>
              </w:pBdr>
            </w:pPr>
            <w:r>
              <w:rPr>
                <w:b/>
                <w:sz w:val="22"/>
                <w:szCs w:val="22"/>
                <w:lang w:eastAsia="zh-CN"/>
              </w:rPr>
              <w:t xml:space="preserve">Представитель Заявителя</w:t>
            </w:r>
            <w:r>
              <w:rPr>
                <w:rStyle w:val="783"/>
                <w:b/>
                <w:sz w:val="22"/>
                <w:szCs w:val="22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pStyle w:val="746"/>
              <w:jc w:val="center"/>
              <w:widowControl w:val="o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(Ф.И.О,)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дата выдачи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кем выдан: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Адрес:    </w:t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  <w:p>
            <w:pPr>
              <w:pStyle w:val="746"/>
              <w:jc w:val="both"/>
              <w:widowControl w:val="off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2"/>
                <w:szCs w:val="22"/>
                <w:u w:val="single"/>
                <w:lang w:eastAsia="zh-CN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zh-CN"/>
              </w:rPr>
              <w:fldChar w:fldCharType="end"/>
            </w:r>
            <w:r>
              <w:rPr>
                <w:sz w:val="22"/>
                <w:szCs w:val="22"/>
                <w:u w:val="single"/>
              </w:rPr>
            </w:r>
            <w:r>
              <w:rPr>
                <w:sz w:val="22"/>
                <w:szCs w:val="22"/>
                <w:u w:val="single"/>
              </w:rPr>
            </w:r>
          </w:p>
        </w:tc>
      </w:tr>
    </w:tbl>
    <w:p>
      <w:pPr>
        <w:pStyle w:val="746"/>
        <w:ind w:hanging="1"/>
        <w:jc w:val="both"/>
        <w:widowControl w:val="off"/>
        <w:rPr>
          <w:b/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b/>
          <w:sz w:val="22"/>
          <w:szCs w:val="22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2"/>
          <w:szCs w:val="22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2"/>
          <w:szCs w:val="22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2"/>
          <w:szCs w:val="22"/>
          <w:lang w:eastAsia="zh-CN"/>
        </w:rPr>
        <w:t xml:space="preserve">руб.</w:t>
      </w:r>
      <w:r>
        <w:rPr>
          <w:sz w:val="22"/>
          <w:szCs w:val="22"/>
          <w:u w:val="single"/>
          <w:lang w:eastAsia="zh-CN"/>
        </w:rPr>
        <w:t xml:space="preserve">            (сумма прописью)</w:t>
      </w:r>
      <w:r>
        <w:rPr>
          <w:sz w:val="22"/>
          <w:szCs w:val="22"/>
          <w:lang w:eastAsia="zh-CN"/>
        </w:rPr>
        <w:t xml:space="preserve">, </w:t>
      </w:r>
      <w:r>
        <w:rPr>
          <w:b/>
          <w:sz w:val="22"/>
          <w:szCs w:val="22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Банковские реквизиты для возврата задатка: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Банк ______________________________________________________________________________________________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Расчётный счёт _______________________________ Корреспондентский счёт 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БИК_________________________________________ Лицевой счёт 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Ф. И. О. (наименование) получателя 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142"/>
        <w:jc w:val="both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  <w:lang w:eastAsia="zh-CN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обязуется: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3"/>
          <w:sz w:val="22"/>
          <w:szCs w:val="22"/>
          <w:vertAlign w:val="superscript"/>
          <w:lang w:eastAsia="zh-CN"/>
        </w:rPr>
        <w:footnoteReference w:id="4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1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2"/>
          <w:szCs w:val="22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2"/>
          <w:szCs w:val="22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2"/>
          <w:szCs w:val="22"/>
          <w:lang w:eastAsia="zh-CN"/>
        </w:rPr>
        <w:t xml:space="preserve">и не имеет претензий к ним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2"/>
          <w:szCs w:val="22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3"/>
          <w:sz w:val="22"/>
          <w:szCs w:val="22"/>
          <w:vertAlign w:val="superscript"/>
          <w:lang w:eastAsia="zh-CN"/>
        </w:rPr>
        <w:footnoteReference w:id="5"/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numPr>
          <w:ilvl w:val="0"/>
          <w:numId w:val="4"/>
        </w:numPr>
        <w:ind w:left="142" w:hanging="142"/>
        <w:jc w:val="both"/>
        <w:tabs>
          <w:tab w:val="left" w:pos="142" w:leader="none"/>
          <w:tab w:val="clear" w:pos="708" w:leader="none"/>
        </w:tabs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Заявитель осведомлен и согласен с тем, что Арендодатель (Прод</w:t>
      </w:r>
      <w:r>
        <w:rPr>
          <w:sz w:val="22"/>
          <w:szCs w:val="22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2"/>
          <w:szCs w:val="22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2"/>
          <w:szCs w:val="22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2"/>
          <w:szCs w:val="22"/>
          <w:lang w:eastAsia="zh-CN"/>
        </w:rPr>
        <w:t xml:space="preserve">ruи сайте Оператора электронной площадки</w:t>
      </w:r>
      <w:r>
        <w:rPr>
          <w:sz w:val="22"/>
          <w:szCs w:val="22"/>
          <w:lang w:eastAsia="zh-CN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 xml:space="preserve">8.В соответствии с Ф</w:t>
      </w:r>
      <w:r>
        <w:rPr>
          <w:sz w:val="22"/>
          <w:szCs w:val="22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2"/>
          <w:szCs w:val="22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2"/>
          <w:szCs w:val="22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2"/>
          <w:szCs w:val="22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  <w:lang w:eastAsia="zh-CN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spacing w:before="0" w:after="160" w:line="259" w:lineRule="auto"/>
        <w:rPr>
          <w:bCs/>
          <w:sz w:val="22"/>
          <w:szCs w:val="22"/>
        </w:rPr>
      </w:pPr>
      <w:r>
        <w:rPr>
          <w:sz w:val="22"/>
          <w:szCs w:val="22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Style w:val="946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12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электронной подписи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Владелец: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Организация: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2"/>
                <w:szCs w:val="22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ru-RU" w:eastAsia="zh-CN" w:bidi="ar-SA"/>
              </w:rPr>
              <w:t xml:space="preserve">.</w:t>
            </w:r>
            <w:r>
              <w:rPr>
                <w:sz w:val="22"/>
                <w:szCs w:val="22"/>
                <w:lang w:val="ru-RU" w:eastAsia="zh-CN" w:bidi="ar-SA"/>
              </w:rPr>
              <w:fldChar w:fldCharType="end"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Подписано: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 w:eastAsia="zh-CN" w:bidi="ar-SA"/>
              </w:rPr>
              <w:t xml:space="preserve">Данные сертификата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Серийный номер: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  <w:t xml:space="preserve">Срок действия: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46"/>
              <w:jc w:val="left"/>
              <w:spacing w:before="0" w:after="0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 w:eastAsia="zh-CN" w:bidi="ar-SA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746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br w:type="page" w:clear="all"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709"/>
        <w:jc w:val="right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numPr>
          <w:ilvl w:val="1"/>
          <w:numId w:val="1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Расходы по государственной регистрации Договора несет Арендатор.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46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46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46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46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46"/>
        <w:jc w:val="both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17"/>
        <w:contextualSpacing/>
        <w:jc w:val="both"/>
        <w:spacing w:before="0" w:after="0" w:line="216" w:lineRule="auto"/>
        <w:rPr>
          <w:sz w:val="18"/>
          <w:szCs w:val="18"/>
        </w:rPr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5">
    <w:p>
      <w:pPr>
        <w:pStyle w:val="817"/>
        <w:contextualSpacing/>
        <w:jc w:val="both"/>
        <w:spacing w:before="0" w:after="0" w:line="216" w:lineRule="auto"/>
      </w:pPr>
      <w:r>
        <w:rPr>
          <w:rStyle w:val="782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756"/>
    <w:link w:val="747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756"/>
    <w:link w:val="748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756"/>
    <w:link w:val="749"/>
    <w:uiPriority w:val="9"/>
    <w:rPr>
      <w:rFonts w:ascii="Arial" w:hAnsi="Arial" w:eastAsia="Arial" w:cs="Arial"/>
      <w:sz w:val="30"/>
      <w:szCs w:val="30"/>
    </w:rPr>
  </w:style>
  <w:style w:type="character" w:styleId="734">
    <w:name w:val="Heading 4 Char"/>
    <w:basedOn w:val="756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35">
    <w:name w:val="Heading 5 Char"/>
    <w:basedOn w:val="756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36">
    <w:name w:val="Heading 6 Char"/>
    <w:basedOn w:val="756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>
    <w:name w:val="Heading 7 Char"/>
    <w:basedOn w:val="756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8 Char"/>
    <w:basedOn w:val="756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39">
    <w:name w:val="Heading 9 Char"/>
    <w:basedOn w:val="75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40">
    <w:name w:val="Title Char"/>
    <w:basedOn w:val="756"/>
    <w:link w:val="791"/>
    <w:uiPriority w:val="10"/>
    <w:rPr>
      <w:sz w:val="48"/>
      <w:szCs w:val="48"/>
    </w:rPr>
  </w:style>
  <w:style w:type="character" w:styleId="741">
    <w:name w:val="Subtitle Char"/>
    <w:basedOn w:val="756"/>
    <w:link w:val="792"/>
    <w:uiPriority w:val="11"/>
    <w:rPr>
      <w:sz w:val="24"/>
      <w:szCs w:val="24"/>
    </w:rPr>
  </w:style>
  <w:style w:type="character" w:styleId="742">
    <w:name w:val="Quote Char"/>
    <w:link w:val="793"/>
    <w:uiPriority w:val="29"/>
    <w:rPr>
      <w:i/>
    </w:rPr>
  </w:style>
  <w:style w:type="character" w:styleId="743">
    <w:name w:val="Intense Quote Char"/>
    <w:link w:val="794"/>
    <w:uiPriority w:val="30"/>
    <w:rPr>
      <w:i/>
    </w:rPr>
  </w:style>
  <w:style w:type="character" w:styleId="744">
    <w:name w:val="Endnote Text Char"/>
    <w:link w:val="796"/>
    <w:uiPriority w:val="99"/>
    <w:rPr>
      <w:sz w:val="20"/>
    </w:rPr>
  </w:style>
  <w:style w:type="paragraph" w:styleId="745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74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7">
    <w:name w:val="Heading 1"/>
    <w:basedOn w:val="746"/>
    <w:next w:val="746"/>
    <w:link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8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2">
    <w:name w:val="Heading 6"/>
    <w:basedOn w:val="746"/>
    <w:next w:val="746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  <w:qFormat/>
  </w:style>
  <w:style w:type="character" w:styleId="757" w:customStyle="1">
    <w:name w:val="Заголовок 2 Знак"/>
    <w:basedOn w:val="756"/>
    <w:uiPriority w:val="9"/>
    <w:qFormat/>
    <w:rPr>
      <w:rFonts w:ascii="Arial" w:hAnsi="Arial" w:eastAsia="Arial" w:cs="Arial"/>
      <w:sz w:val="34"/>
    </w:rPr>
  </w:style>
  <w:style w:type="character" w:styleId="758" w:customStyle="1">
    <w:name w:val="Заголовок 6 Знак"/>
    <w:basedOn w:val="7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Заголовок Знак"/>
    <w:basedOn w:val="756"/>
    <w:uiPriority w:val="10"/>
    <w:qFormat/>
    <w:rPr>
      <w:sz w:val="48"/>
      <w:szCs w:val="48"/>
    </w:rPr>
  </w:style>
  <w:style w:type="character" w:styleId="763" w:customStyle="1">
    <w:name w:val="Подзаголовок Знак"/>
    <w:basedOn w:val="756"/>
    <w:uiPriority w:val="11"/>
    <w:qFormat/>
    <w:rPr>
      <w:sz w:val="24"/>
      <w:szCs w:val="24"/>
    </w:rPr>
  </w:style>
  <w:style w:type="character" w:styleId="764" w:customStyle="1">
    <w:name w:val="Цитата 2 Знак"/>
    <w:link w:val="793"/>
    <w:uiPriority w:val="29"/>
    <w:qFormat/>
    <w:rPr>
      <w:i/>
    </w:rPr>
  </w:style>
  <w:style w:type="character" w:styleId="765" w:customStyle="1">
    <w:name w:val="Выделенная цитата Знак"/>
    <w:link w:val="794"/>
    <w:uiPriority w:val="30"/>
    <w:qFormat/>
    <w:rPr>
      <w:i/>
    </w:rPr>
  </w:style>
  <w:style w:type="character" w:styleId="766" w:customStyle="1">
    <w:name w:val="Header Char"/>
    <w:basedOn w:val="756"/>
    <w:uiPriority w:val="99"/>
    <w:qFormat/>
  </w:style>
  <w:style w:type="character" w:styleId="767" w:customStyle="1">
    <w:name w:val="Footer Char"/>
    <w:basedOn w:val="756"/>
    <w:uiPriority w:val="99"/>
    <w:qFormat/>
  </w:style>
  <w:style w:type="character" w:styleId="768" w:customStyle="1">
    <w:name w:val="Caption Char"/>
    <w:uiPriority w:val="99"/>
    <w:qFormat/>
  </w:style>
  <w:style w:type="character" w:styleId="769" w:customStyle="1">
    <w:name w:val="Footnote Text Char"/>
    <w:uiPriority w:val="99"/>
    <w:qFormat/>
    <w:rPr>
      <w:sz w:val="18"/>
    </w:rPr>
  </w:style>
  <w:style w:type="character" w:styleId="770" w:customStyle="1">
    <w:name w:val="Текст концевой сноски Знак"/>
    <w:uiPriority w:val="99"/>
    <w:qFormat/>
    <w:rPr>
      <w:sz w:val="20"/>
    </w:rPr>
  </w:style>
  <w:style w:type="character" w:styleId="771">
    <w:name w:val="Символ концевой сноски"/>
    <w:basedOn w:val="756"/>
    <w:uiPriority w:val="99"/>
    <w:semiHidden/>
    <w:unhideWhenUsed/>
    <w:qFormat/>
    <w:rPr>
      <w:vertAlign w:val="superscript"/>
    </w:rPr>
  </w:style>
  <w:style w:type="character" w:styleId="772">
    <w:name w:val="endnote reference"/>
    <w:rPr>
      <w:vertAlign w:val="superscript"/>
    </w:rPr>
  </w:style>
  <w:style w:type="character" w:styleId="773">
    <w:name w:val="FollowedHyperlink"/>
    <w:basedOn w:val="756"/>
    <w:uiPriority w:val="99"/>
    <w:unhideWhenUsed/>
    <w:qFormat/>
    <w:rPr>
      <w:color w:val="800080"/>
      <w:u w:val="single"/>
    </w:rPr>
  </w:style>
  <w:style w:type="character" w:styleId="774">
    <w:name w:val="Hyperlink"/>
    <w:basedOn w:val="756"/>
    <w:uiPriority w:val="99"/>
    <w:unhideWhenUsed/>
    <w:qFormat/>
    <w:rPr>
      <w:color w:val="0000ff"/>
      <w:u w:val="single"/>
    </w:rPr>
  </w:style>
  <w:style w:type="character" w:styleId="775">
    <w:name w:val="Strong"/>
    <w:basedOn w:val="756"/>
    <w:qFormat/>
    <w:rPr>
      <w:rFonts w:cs="Times New Roman"/>
      <w:b/>
      <w:bCs/>
    </w:rPr>
  </w:style>
  <w:style w:type="character" w:styleId="776" w:customStyle="1">
    <w:name w:val="Верх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7" w:customStyle="1">
    <w:name w:val="Нижний колонтитул Знак"/>
    <w:basedOn w:val="756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78" w:customStyle="1">
    <w:name w:val="10"/>
    <w:basedOn w:val="756"/>
    <w:qFormat/>
    <w:rPr>
      <w:rFonts w:ascii="Times New Roman" w:hAnsi="Times New Roman" w:cs="Times New Roman"/>
    </w:rPr>
  </w:style>
  <w:style w:type="character" w:styleId="779" w:customStyle="1">
    <w:name w:val="15"/>
    <w:basedOn w:val="756"/>
    <w:qFormat/>
    <w:rPr>
      <w:rFonts w:ascii="Times New Roman" w:hAnsi="Times New Roman" w:cs="Times New Roman"/>
      <w:color w:val="0000ff"/>
      <w:u w:val="single"/>
    </w:rPr>
  </w:style>
  <w:style w:type="character" w:styleId="780" w:customStyle="1">
    <w:name w:val="16"/>
    <w:basedOn w:val="756"/>
    <w:qFormat/>
    <w:rPr>
      <w:rFonts w:ascii="Times New Roman" w:hAnsi="Times New Roman" w:cs="Times New Roman"/>
    </w:rPr>
  </w:style>
  <w:style w:type="character" w:styleId="781" w:customStyle="1">
    <w:name w:val="rts-text"/>
    <w:basedOn w:val="756"/>
    <w:qFormat/>
  </w:style>
  <w:style w:type="character" w:styleId="782">
    <w:name w:val="Символ сноски"/>
    <w:qFormat/>
    <w:rPr>
      <w:vertAlign w:val="superscript"/>
    </w:rPr>
  </w:style>
  <w:style w:type="character" w:styleId="783">
    <w:name w:val="footnote reference"/>
    <w:rPr>
      <w:vertAlign w:val="superscript"/>
    </w:rPr>
  </w:style>
  <w:style w:type="character" w:styleId="784" w:customStyle="1">
    <w:name w:val="Текст сноски Знак"/>
    <w:basedOn w:val="756"/>
    <w:qFormat/>
    <w:rPr>
      <w:rFonts w:ascii="Times New Roman" w:hAnsi="Times New Roman" w:eastAsia="Times New Roman" w:cs="Times New Roman"/>
      <w:lang w:eastAsia="zh-CN"/>
    </w:rPr>
  </w:style>
  <w:style w:type="character" w:styleId="785" w:customStyle="1">
    <w:name w:val="Текст выноски Знак"/>
    <w:basedOn w:val="756"/>
    <w:link w:val="818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86">
    <w:name w:val="Заголовок"/>
    <w:basedOn w:val="746"/>
    <w:next w:val="78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87">
    <w:name w:val="Body Text"/>
    <w:basedOn w:val="746"/>
    <w:pPr>
      <w:spacing w:before="0" w:after="140" w:line="276" w:lineRule="auto"/>
    </w:pPr>
  </w:style>
  <w:style w:type="paragraph" w:styleId="788">
    <w:name w:val="List"/>
    <w:basedOn w:val="787"/>
    <w:rPr>
      <w:rFonts w:cs="Mangal"/>
    </w:rPr>
  </w:style>
  <w:style w:type="paragraph" w:styleId="789">
    <w:name w:val="Caption"/>
    <w:basedOn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0">
    <w:name w:val="Указатель"/>
    <w:basedOn w:val="746"/>
    <w:qFormat/>
    <w:pPr>
      <w:suppressLineNumbers/>
    </w:pPr>
    <w:rPr>
      <w:rFonts w:cs="Mangal"/>
    </w:rPr>
  </w:style>
  <w:style w:type="paragraph" w:styleId="791">
    <w:name w:val="Title"/>
    <w:basedOn w:val="746"/>
    <w:next w:val="74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2">
    <w:name w:val="Subtitle"/>
    <w:basedOn w:val="746"/>
    <w:next w:val="746"/>
    <w:link w:val="763"/>
    <w:uiPriority w:val="11"/>
    <w:qFormat/>
    <w:pPr>
      <w:spacing w:before="200" w:after="200"/>
    </w:pPr>
  </w:style>
  <w:style w:type="paragraph" w:styleId="793">
    <w:name w:val="Quote"/>
    <w:basedOn w:val="746"/>
    <w:next w:val="746"/>
    <w:link w:val="764"/>
    <w:uiPriority w:val="29"/>
    <w:qFormat/>
    <w:pPr>
      <w:ind w:left="720" w:right="720" w:firstLine="0"/>
    </w:pPr>
    <w:rPr>
      <w:i/>
    </w:rPr>
  </w:style>
  <w:style w:type="paragraph" w:styleId="794">
    <w:name w:val="Intense Quote"/>
    <w:basedOn w:val="746"/>
    <w:next w:val="746"/>
    <w:link w:val="76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6">
    <w:name w:val="endnote text"/>
    <w:basedOn w:val="746"/>
    <w:link w:val="770"/>
    <w:uiPriority w:val="99"/>
    <w:semiHidden/>
    <w:unhideWhenUsed/>
    <w:rPr>
      <w:sz w:val="20"/>
    </w:rPr>
  </w:style>
  <w:style w:type="paragraph" w:styleId="797">
    <w:name w:val="toc 1"/>
    <w:basedOn w:val="746"/>
    <w:next w:val="746"/>
    <w:uiPriority w:val="39"/>
    <w:unhideWhenUsed/>
    <w:pPr>
      <w:spacing w:before="0" w:after="57"/>
    </w:pPr>
  </w:style>
  <w:style w:type="paragraph" w:styleId="798">
    <w:name w:val="toc 3"/>
    <w:basedOn w:val="746"/>
    <w:next w:val="746"/>
    <w:uiPriority w:val="39"/>
    <w:unhideWhenUsed/>
    <w:pPr>
      <w:ind w:left="567" w:firstLine="0"/>
      <w:spacing w:before="0" w:after="57"/>
    </w:pPr>
  </w:style>
  <w:style w:type="paragraph" w:styleId="799">
    <w:name w:val="toc 4"/>
    <w:basedOn w:val="746"/>
    <w:next w:val="746"/>
    <w:uiPriority w:val="39"/>
    <w:unhideWhenUsed/>
    <w:pPr>
      <w:ind w:left="850" w:firstLine="0"/>
      <w:spacing w:before="0" w:after="57"/>
    </w:pPr>
  </w:style>
  <w:style w:type="paragraph" w:styleId="800">
    <w:name w:val="toc 5"/>
    <w:basedOn w:val="746"/>
    <w:next w:val="746"/>
    <w:uiPriority w:val="39"/>
    <w:unhideWhenUsed/>
    <w:pPr>
      <w:ind w:left="1134" w:firstLine="0"/>
      <w:spacing w:before="0" w:after="57"/>
    </w:pPr>
  </w:style>
  <w:style w:type="paragraph" w:styleId="801">
    <w:name w:val="toc 6"/>
    <w:basedOn w:val="746"/>
    <w:next w:val="746"/>
    <w:uiPriority w:val="39"/>
    <w:unhideWhenUsed/>
    <w:pPr>
      <w:ind w:left="1417" w:firstLine="0"/>
      <w:spacing w:before="0" w:after="57"/>
    </w:pPr>
  </w:style>
  <w:style w:type="paragraph" w:styleId="802">
    <w:name w:val="toc 7"/>
    <w:basedOn w:val="746"/>
    <w:next w:val="746"/>
    <w:uiPriority w:val="39"/>
    <w:unhideWhenUsed/>
    <w:pPr>
      <w:ind w:left="1701" w:firstLine="0"/>
      <w:spacing w:before="0" w:after="57"/>
    </w:pPr>
  </w:style>
  <w:style w:type="paragraph" w:styleId="803">
    <w:name w:val="toc 8"/>
    <w:basedOn w:val="746"/>
    <w:next w:val="746"/>
    <w:uiPriority w:val="39"/>
    <w:unhideWhenUsed/>
    <w:pPr>
      <w:ind w:left="1984" w:firstLine="0"/>
      <w:spacing w:before="0" w:after="57"/>
    </w:pPr>
  </w:style>
  <w:style w:type="paragraph" w:styleId="804">
    <w:name w:val="toc 9"/>
    <w:basedOn w:val="746"/>
    <w:next w:val="746"/>
    <w:uiPriority w:val="39"/>
    <w:unhideWhenUsed/>
    <w:pPr>
      <w:ind w:left="2268" w:firstLine="0"/>
      <w:spacing w:before="0" w:after="57"/>
    </w:pPr>
  </w:style>
  <w:style w:type="paragraph" w:styleId="805">
    <w:name w:val="Index Heading"/>
    <w:basedOn w:val="786"/>
  </w:style>
  <w:style w:type="paragraph" w:styleId="80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07">
    <w:name w:val="table of figures"/>
    <w:basedOn w:val="746"/>
    <w:next w:val="746"/>
    <w:uiPriority w:val="99"/>
    <w:unhideWhenUsed/>
    <w:qFormat/>
  </w:style>
  <w:style w:type="paragraph" w:styleId="808">
    <w:name w:val="Body Text Indent 3"/>
    <w:basedOn w:val="746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09">
    <w:name w:val="Колонтитул"/>
    <w:basedOn w:val="746"/>
    <w:qFormat/>
  </w:style>
  <w:style w:type="paragraph" w:styleId="810">
    <w:name w:val="Header"/>
    <w:basedOn w:val="746"/>
    <w:link w:val="776"/>
    <w:uiPriority w:val="99"/>
    <w:unhideWhenUsed/>
    <w:qFormat/>
  </w:style>
  <w:style w:type="paragraph" w:styleId="811">
    <w:name w:val="Footer"/>
    <w:basedOn w:val="746"/>
    <w:link w:val="777"/>
    <w:uiPriority w:val="99"/>
    <w:unhideWhenUsed/>
    <w:qFormat/>
  </w:style>
  <w:style w:type="paragraph" w:styleId="812">
    <w:name w:val="Normal (Web)"/>
    <w:basedOn w:val="746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4" w:customStyle="1">
    <w:name w:val="rezul"/>
    <w:basedOn w:val="746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15" w:customStyle="1">
    <w:name w:val="Заголов1"/>
    <w:basedOn w:val="746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16">
    <w:name w:val="List Paragraph"/>
    <w:basedOn w:val="746"/>
    <w:uiPriority w:val="99"/>
    <w:qFormat/>
    <w:pPr>
      <w:contextualSpacing/>
      <w:ind w:left="720" w:firstLine="0"/>
      <w:spacing w:before="0" w:after="0"/>
    </w:pPr>
  </w:style>
  <w:style w:type="paragraph" w:styleId="817">
    <w:name w:val="footnote text"/>
    <w:basedOn w:val="746"/>
    <w:link w:val="784"/>
    <w:rPr>
      <w:sz w:val="20"/>
      <w:szCs w:val="20"/>
      <w:lang w:eastAsia="zh-CN"/>
    </w:rPr>
  </w:style>
  <w:style w:type="paragraph" w:styleId="818">
    <w:name w:val="Balloon Text"/>
    <w:basedOn w:val="746"/>
    <w:link w:val="785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19" w:default="1">
    <w:name w:val="No List"/>
    <w:uiPriority w:val="99"/>
    <w:semiHidden/>
    <w:unhideWhenUsed/>
    <w:qFormat/>
  </w:style>
  <w:style w:type="table" w:styleId="82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Table Grid Light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82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3">
    <w:name w:val="Plain Table 2"/>
    <w:basedOn w:val="82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4">
    <w:name w:val="Plain Table 3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820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82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82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82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82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82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82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82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0" w:customStyle="1">
    <w:name w:val="Grid Table 4 - Accent 2"/>
    <w:basedOn w:val="82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1" w:customStyle="1">
    <w:name w:val="Grid Table 4 - Accent 3"/>
    <w:basedOn w:val="82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2" w:customStyle="1">
    <w:name w:val="Grid Table 4 - Accent 4"/>
    <w:basedOn w:val="82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3" w:customStyle="1">
    <w:name w:val="Grid Table 4 - Accent 5"/>
    <w:basedOn w:val="82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4" w:customStyle="1">
    <w:name w:val="Grid Table 4 - Accent 6"/>
    <w:basedOn w:val="82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5">
    <w:name w:val="Grid Table 5 Dark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82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82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4" w:customStyle="1">
    <w:name w:val="Grid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5" w:customStyle="1">
    <w:name w:val="Grid Table 6 Colorful - Accent 3"/>
    <w:basedOn w:val="82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6" w:customStyle="1">
    <w:name w:val="Grid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7" w:customStyle="1">
    <w:name w:val="Grid Table 6 Colorful - Accent 5"/>
    <w:basedOn w:val="82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6 Colorful - Accent 6"/>
    <w:basedOn w:val="82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>
    <w:name w:val="Grid Table 7 Colorful"/>
    <w:basedOn w:val="82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82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82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82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82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82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82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82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820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820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820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820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820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820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82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0">
    <w:name w:val="List Table 3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82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82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82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82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82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82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82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82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82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>
    <w:name w:val="List Table 6 Colorful"/>
    <w:basedOn w:val="82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2" w:customStyle="1">
    <w:name w:val="List Table 6 Colorful - Accent 1"/>
    <w:basedOn w:val="82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3" w:customStyle="1">
    <w:name w:val="List Table 6 Colorful - Accent 2"/>
    <w:basedOn w:val="82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4" w:customStyle="1">
    <w:name w:val="List Table 6 Colorful - Accent 3"/>
    <w:basedOn w:val="82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15" w:customStyle="1">
    <w:name w:val="List Table 6 Colorful - Accent 4"/>
    <w:basedOn w:val="82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16" w:customStyle="1">
    <w:name w:val="List Table 6 Colorful - Accent 5"/>
    <w:basedOn w:val="82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17" w:customStyle="1">
    <w:name w:val="List Table 6 Colorful - Accent 6"/>
    <w:basedOn w:val="82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18">
    <w:name w:val="List Table 7 Colorful"/>
    <w:basedOn w:val="82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82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82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82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82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82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82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6" w:customStyle="1">
    <w:name w:val="Lined - Accent 1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7" w:customStyle="1">
    <w:name w:val="Lined - Accent 2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8" w:customStyle="1">
    <w:name w:val="Lined - Accent 3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9" w:customStyle="1">
    <w:name w:val="Lined - Accent 4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0" w:customStyle="1">
    <w:name w:val="Lined - Accent 5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1" w:customStyle="1">
    <w:name w:val="Lined - Accent 6"/>
    <w:basedOn w:val="820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2" w:customStyle="1">
    <w:name w:val="Bordered &amp; Lined - Accent"/>
    <w:basedOn w:val="82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3" w:customStyle="1">
    <w:name w:val="Bordered &amp; Lined - Accent 1"/>
    <w:basedOn w:val="82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4" w:customStyle="1">
    <w:name w:val="Bordered &amp; Lined - Accent 2"/>
    <w:basedOn w:val="82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5" w:customStyle="1">
    <w:name w:val="Bordered &amp; Lined - Accent 3"/>
    <w:basedOn w:val="82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6" w:customStyle="1">
    <w:name w:val="Bordered &amp; Lined - Accent 4"/>
    <w:basedOn w:val="82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7" w:customStyle="1">
    <w:name w:val="Bordered &amp; Lined - Accent 5"/>
    <w:basedOn w:val="82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8" w:customStyle="1">
    <w:name w:val="Bordered &amp; Lined - Accent 6"/>
    <w:basedOn w:val="82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9" w:customStyle="1">
    <w:name w:val="Bordered"/>
    <w:basedOn w:val="82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0" w:customStyle="1">
    <w:name w:val="Bordered - Accent 1"/>
    <w:basedOn w:val="82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1" w:customStyle="1">
    <w:name w:val="Bordered - Accent 2"/>
    <w:basedOn w:val="82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2" w:customStyle="1">
    <w:name w:val="Bordered - Accent 3"/>
    <w:basedOn w:val="82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3" w:customStyle="1">
    <w:name w:val="Bordered - Accent 4"/>
    <w:basedOn w:val="82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4" w:customStyle="1">
    <w:name w:val="Bordered - Accent 5"/>
    <w:basedOn w:val="82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45" w:customStyle="1">
    <w:name w:val="Bordered - Accent 6"/>
    <w:basedOn w:val="82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46">
    <w:name w:val="Table Grid"/>
    <w:basedOn w:val="820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29</cp:revision>
  <dcterms:created xsi:type="dcterms:W3CDTF">2023-10-31T06:24:00Z</dcterms:created>
  <dcterms:modified xsi:type="dcterms:W3CDTF">2024-09-23T12:13:59Z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