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Утверждено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распоряжением начальника Управления имущественных и земельных отношений 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Администрации города Костромы</w:t>
      </w:r>
      <w:r>
        <w:rPr>
          <w:i/>
          <w:iCs/>
          <w:sz w:val="22"/>
          <w:szCs w:val="22"/>
        </w:rPr>
      </w:r>
      <w:r>
        <w:rPr>
          <w:i/>
          <w:iCs/>
          <w:sz w:val="22"/>
          <w:szCs w:val="22"/>
        </w:rPr>
      </w:r>
    </w:p>
    <w:p>
      <w:pPr>
        <w:pStyle w:val="751"/>
        <w:ind w:left="5245" w:firstLine="0"/>
        <w:jc w:val="center"/>
        <w:rPr>
          <w:bCs/>
          <w:i/>
        </w:rPr>
      </w:pPr>
      <w:r>
        <w:rPr>
          <w:bCs/>
          <w:i/>
        </w:rPr>
        <w:t xml:space="preserve">от _________________ № _______</w:t>
      </w:r>
      <w:r>
        <w:rPr>
          <w:bCs/>
          <w:i/>
        </w:rPr>
      </w:r>
      <w:r>
        <w:rPr>
          <w:bCs/>
          <w:i/>
        </w:rPr>
      </w:r>
    </w:p>
    <w:p>
      <w:pPr>
        <w:pStyle w:val="751"/>
        <w:ind w:left="5245"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751"/>
        <w:ind w:firstLine="851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after="0" w:line="289" w:lineRule="atLeast"/>
        <w:rPr>
          <w:rFonts w:ascii="Times New Roman" w:hAnsi="Times New Roman" w:cs="Times New Roman"/>
          <w:position w:val="0"/>
          <w:sz w:val="22"/>
          <w:szCs w:val="22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2"/>
          <w:szCs w:val="22"/>
          <w:lang w:val="ru-RU"/>
        </w:rPr>
        <w:t xml:space="preserve">ИЗВЕЩЕНИЕ</w:t>
      </w:r>
      <w:r>
        <w:rPr>
          <w:rFonts w:ascii="Times New Roman" w:hAnsi="Times New Roman" w:cs="Times New Roman"/>
          <w:position w:val="0"/>
          <w:sz w:val="22"/>
          <w:szCs w:val="22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820"/>
        <w:numPr>
          <w:ilvl w:val="0"/>
          <w:numId w:val="0"/>
        </w:numPr>
        <w:contextualSpacing w:val="0"/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outlineLvl w:val="0"/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lang w:val="ru-RU"/>
        </w:rPr>
        <w:t xml:space="preserve"> проведении аукциона на право заключения договоров аренды земельных участков, расположенных на территории города Костромы, государственная собственность на которые не разграничена 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1"/>
        <w:contextualSpacing w:val="0"/>
        <w:ind w:firstLine="709"/>
        <w:jc w:val="left"/>
        <w:spacing w:before="0" w:beforeAutospacing="0" w:after="0" w:afterAutospacing="0" w:line="240" w:lineRule="auto"/>
        <w:rPr>
          <w:rFonts w:ascii="Times New Roman" w:hAnsi="Times New Roman" w:cs="Times New Roman"/>
          <w:b/>
          <w:i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b/>
          <w:i/>
          <w:positio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  <w:r>
        <w:rPr>
          <w:rFonts w:ascii="Times New Roman" w:hAnsi="Times New Roman" w:cs="Times New Roman"/>
          <w:b/>
          <w:i/>
          <w:position w:val="0"/>
          <w:sz w:val="20"/>
          <w:szCs w:val="20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1. У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правление имущественных и земельных отношений Администрации города Костромы сообщает о проведении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28 мая 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025</w:t>
      </w:r>
      <w:r>
        <w:rPr>
          <w:rFonts w:ascii="Times New Roman" w:hAnsi="Times New Roman" w:eastAsia="Times New Roman" w:cs="Times New Roman"/>
          <w:b/>
          <w:bCs/>
          <w:position w:val="0"/>
          <w:sz w:val="20"/>
          <w:szCs w:val="20"/>
          <w:highlight w:val="white"/>
        </w:rPr>
        <w:t xml:space="preserve"> года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аукцион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а на право заключения договоров аренды земельных участков.</w:t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Форма торгов – электронный аукцион. </w:t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  <w:r>
        <w:rPr>
          <w:rFonts w:ascii="Times New Roman" w:hAnsi="Times New Roman" w:cs="Times New Roman"/>
          <w:position w:val="0"/>
          <w:sz w:val="20"/>
          <w:szCs w:val="20"/>
          <w:highlight w:val="none"/>
        </w:rPr>
      </w:r>
    </w:p>
    <w:p>
      <w:pPr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eastAsia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2. Основ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ание проведения аукциона –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постановление Администрации города Костром</w:t>
      </w:r>
      <w:r>
        <w:rPr>
          <w:rFonts w:ascii="Times New Roman" w:hAnsi="Times New Roman"/>
          <w:sz w:val="20"/>
          <w:szCs w:val="20"/>
        </w:rPr>
        <w:t xml:space="preserve">ы от </w:t>
      </w:r>
      <w:r>
        <w:rPr>
          <w:rFonts w:ascii="Times New Roman" w:hAnsi="Times New Roman"/>
          <w:sz w:val="20"/>
          <w:szCs w:val="20"/>
        </w:rPr>
        <w:t xml:space="preserve">16 февраля 2024 </w:t>
      </w:r>
      <w:r>
        <w:rPr>
          <w:rFonts w:ascii="Times New Roman" w:hAnsi="Times New Roman"/>
          <w:sz w:val="20"/>
          <w:szCs w:val="20"/>
        </w:rPr>
        <w:t xml:space="preserve">года № </w:t>
      </w:r>
      <w:r>
        <w:rPr>
          <w:rFonts w:ascii="Times New Roman" w:hAnsi="Times New Roman"/>
          <w:sz w:val="20"/>
          <w:szCs w:val="20"/>
        </w:rPr>
        <w:t xml:space="preserve">260 «</w:t>
      </w:r>
      <w:r>
        <w:rPr>
          <w:rFonts w:ascii="Times New Roman" w:hAnsi="Times New Roman"/>
          <w:color w:val="000000"/>
          <w:sz w:val="20"/>
          <w:szCs w:val="20"/>
        </w:rPr>
        <w:t xml:space="preserve">О проведении аукциона на право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/>
          <w:color w:val="000000"/>
          <w:sz w:val="20"/>
          <w:szCs w:val="20"/>
        </w:rPr>
        <w:t xml:space="preserve">улица Локомотивная</w:t>
      </w:r>
      <w:r>
        <w:rPr>
          <w:rFonts w:ascii="Times New Roman" w:hAnsi="Times New Roman"/>
          <w:color w:val="000000"/>
          <w:sz w:val="20"/>
          <w:szCs w:val="20"/>
        </w:rPr>
        <w:t xml:space="preserve">, земельный участок </w:t>
      </w:r>
      <w:r>
        <w:rPr>
          <w:rFonts w:ascii="Times New Roman" w:hAnsi="Times New Roman"/>
          <w:color w:val="000000"/>
          <w:sz w:val="20"/>
          <w:szCs w:val="20"/>
        </w:rPr>
        <w:t xml:space="preserve">3в»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; </w:t>
      </w:r>
      <w:r>
        <w:rPr>
          <w:rFonts w:ascii="Times New Roman" w:hAnsi="Times New Roman"/>
          <w:sz w:val="20"/>
          <w:szCs w:val="20"/>
        </w:rPr>
        <w:t xml:space="preserve">постановление Администрации города Костром</w:t>
      </w:r>
      <w:r>
        <w:rPr>
          <w:rFonts w:ascii="Times New Roman" w:hAnsi="Times New Roman"/>
          <w:sz w:val="20"/>
          <w:szCs w:val="20"/>
        </w:rPr>
        <w:t xml:space="preserve">ы от </w:t>
      </w:r>
      <w:r>
        <w:rPr>
          <w:rFonts w:ascii="Times New Roman" w:hAnsi="Times New Roman"/>
          <w:sz w:val="20"/>
          <w:szCs w:val="20"/>
        </w:rPr>
        <w:t xml:space="preserve">13 марта 2024 </w:t>
      </w:r>
      <w:r>
        <w:rPr>
          <w:rFonts w:ascii="Times New Roman" w:hAnsi="Times New Roman"/>
          <w:sz w:val="20"/>
          <w:szCs w:val="20"/>
        </w:rPr>
        <w:t xml:space="preserve">года № </w:t>
      </w:r>
      <w:r>
        <w:rPr>
          <w:rFonts w:ascii="Times New Roman" w:hAnsi="Times New Roman"/>
          <w:sz w:val="20"/>
          <w:szCs w:val="20"/>
        </w:rPr>
        <w:t xml:space="preserve">412 «</w:t>
      </w:r>
      <w:r>
        <w:rPr>
          <w:rFonts w:ascii="Times New Roman" w:hAnsi="Times New Roman"/>
          <w:color w:val="000000"/>
          <w:sz w:val="20"/>
          <w:szCs w:val="20"/>
        </w:rPr>
        <w:t xml:space="preserve">О проведении аукциона на право заключения договора аренды земельного участка, государственная собственность на который не разграничена, расположенного по адресу: 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/>
          <w:color w:val="000000"/>
          <w:sz w:val="20"/>
          <w:szCs w:val="20"/>
        </w:rPr>
        <w:t xml:space="preserve">улица Локомотивная</w:t>
      </w:r>
      <w:r>
        <w:rPr>
          <w:rFonts w:ascii="Times New Roman" w:hAnsi="Times New Roman"/>
          <w:color w:val="000000"/>
          <w:sz w:val="20"/>
          <w:szCs w:val="20"/>
        </w:rPr>
        <w:t xml:space="preserve">, земельный участок </w:t>
      </w:r>
      <w:r>
        <w:rPr>
          <w:rFonts w:ascii="Times New Roman" w:hAnsi="Times New Roman"/>
          <w:color w:val="000000"/>
          <w:sz w:val="20"/>
          <w:szCs w:val="20"/>
        </w:rPr>
        <w:t xml:space="preserve">3г»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.</w:t>
      </w:r>
      <w:r>
        <w:rPr>
          <w:rFonts w:ascii="Times New Roman" w:hAnsi="Times New Roman" w:eastAsia="Times New Roman" w:cs="Times New Roman"/>
          <w:color w:val="000000"/>
          <w:position w:val="0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</w:rPr>
        <w:t xml:space="preserve">3. Сведения о предмете аукциона: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0"/>
          <w:szCs w:val="20"/>
        </w:rPr>
      </w:r>
    </w:p>
    <w:p>
      <w:pPr>
        <w:pStyle w:val="751"/>
        <w:contextualSpacing w:val="0"/>
        <w:jc w:val="center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</w:rPr>
        <w:suppressLineNumbers w:val="0"/>
      </w:pPr>
      <w:r>
        <w:rPr>
          <w:rFonts w:ascii="Times New Roman" w:hAnsi="Times New Roman" w:eastAsia="Times New Roman" w:cs="Times New Roman"/>
          <w:b/>
          <w:position w:val="0"/>
          <w:sz w:val="20"/>
          <w:szCs w:val="20"/>
        </w:rPr>
        <w:t xml:space="preserve">Лот № 1</w:t>
      </w:r>
      <w:r>
        <w:rPr>
          <w:rFonts w:ascii="Times New Roman" w:hAnsi="Times New Roman" w:cs="Times New Roman"/>
          <w:position w:val="0"/>
          <w:sz w:val="20"/>
          <w:szCs w:val="20"/>
        </w:rPr>
      </w:r>
      <w:r>
        <w:rPr>
          <w:rFonts w:ascii="Times New Roman" w:hAnsi="Times New Roman" w:cs="Times New Roman"/>
          <w:position w:val="0"/>
          <w:sz w:val="22"/>
          <w:szCs w:val="22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- адрес</w:t>
      </w:r>
      <w:r>
        <w:rPr>
          <w:rFonts w:ascii="Times New Roman" w:hAnsi="Times New Roman"/>
          <w:color w:val="000000"/>
          <w:sz w:val="20"/>
          <w:szCs w:val="20"/>
        </w:rPr>
        <w:t xml:space="preserve">: 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/>
          <w:color w:val="000000"/>
          <w:sz w:val="20"/>
          <w:szCs w:val="20"/>
        </w:rPr>
        <w:t xml:space="preserve">улица Локомотивная</w:t>
      </w:r>
      <w:r>
        <w:rPr>
          <w:rFonts w:ascii="Times New Roman" w:hAnsi="Times New Roman"/>
          <w:color w:val="000000"/>
          <w:sz w:val="20"/>
          <w:szCs w:val="20"/>
        </w:rPr>
        <w:t xml:space="preserve">, земельный участок 3в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- площадь: 2354</w:t>
      </w:r>
      <w:r>
        <w:rPr>
          <w:rFonts w:ascii="Times New Roman" w:hAnsi="Times New Roman"/>
          <w:sz w:val="20"/>
          <w:szCs w:val="20"/>
        </w:rPr>
        <w:t xml:space="preserve"> кв.м;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- кадастровый номер: 44:27:061202</w:t>
      </w:r>
      <w:r>
        <w:rPr>
          <w:rFonts w:ascii="Times New Roman" w:hAnsi="Times New Roman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694;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разрешенное использов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ан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и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е: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общественное управление, деловое управление, банковская и страховая деятельность, обеспечение внутреннего правопорядка, гостиничное обслуживание, магазины, бытовое обслуживание, спорт, культурное развитие, развлечения, социальное обслуживание, коммунальное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обслуживание, автомобильный транспорт, служебные гаражи, выставочно-ярмарочная деятельность, объекты дорожного сервиса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;</w:t>
      </w:r>
      <w:r>
        <w:rPr>
          <w:rFonts w:ascii="Times New Roman" w:hAnsi="Times New Roman" w:eastAsia="Times New Roman" w:cs="Times New Roman"/>
          <w:sz w:val="20"/>
          <w:szCs w:val="20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обременения и ограничения: земельный участок расположен </w:t>
      </w:r>
      <w:r>
        <w:rPr>
          <w:rFonts w:ascii="Times New Roman" w:hAnsi="Times New Roman"/>
          <w:sz w:val="20"/>
          <w:szCs w:val="20"/>
          <w:highlight w:val="white"/>
        </w:rPr>
        <w:t xml:space="preserve">в приаэродромной территории аэродрома Кострома (Сокеркино) (зона с особыми условиями использования территории с реес</w:t>
      </w:r>
      <w:r>
        <w:rPr>
          <w:rFonts w:ascii="Times New Roman" w:hAnsi="Times New Roman"/>
          <w:sz w:val="20"/>
          <w:szCs w:val="20"/>
          <w:highlight w:val="white"/>
        </w:rPr>
        <w:t xml:space="preserve">тровым номером 44:00-6.587), третьей, четвертой, пятой и шестой подзонах приаэродромной территории аэродрома Кострома (Сокеркино)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охранная зона объекта "КЛ-0,4кВ от ТП-798 ООО Лагуна,ул.Лок.2В (КЛ 0,4 кВ ТП 798 - ул.Локомативная, д.2 в)", расположенного по адресу: Россия, Костромска</w:t>
      </w:r>
      <w:r>
        <w:rPr>
          <w:rFonts w:ascii="Times New Roman" w:hAnsi="Times New Roman"/>
          <w:sz w:val="20"/>
          <w:szCs w:val="20"/>
          <w:highlight w:val="white"/>
        </w:rPr>
        <w:t xml:space="preserve">я область, г. Кострома (</w:t>
      </w:r>
      <w:r>
        <w:rPr>
          <w:rFonts w:ascii="Times New Roman" w:hAnsi="Times New Roman"/>
          <w:sz w:val="20"/>
          <w:szCs w:val="20"/>
          <w:highlight w:val="white"/>
        </w:rPr>
        <w:t xml:space="preserve">зона с особыми условиями использов</w:t>
      </w:r>
      <w:r>
        <w:rPr>
          <w:rFonts w:ascii="Times New Roman" w:hAnsi="Times New Roman"/>
          <w:sz w:val="20"/>
          <w:szCs w:val="20"/>
          <w:highlight w:val="white"/>
        </w:rPr>
        <w:t xml:space="preserve">ания территории с реестровым номером </w:t>
      </w:r>
      <w:r>
        <w:rPr>
          <w:rFonts w:ascii="Times New Roman" w:hAnsi="Times New Roman"/>
          <w:sz w:val="20"/>
          <w:szCs w:val="20"/>
          <w:highlight w:val="white"/>
        </w:rPr>
        <w:t xml:space="preserve">44:27-6.7141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па</w:t>
      </w:r>
      <w:r>
        <w:rPr>
          <w:rFonts w:ascii="Times New Roman" w:hAnsi="Times New Roman"/>
          <w:sz w:val="20"/>
          <w:szCs w:val="20"/>
        </w:rPr>
        <w:t xml:space="preserve">раметры разрешенного строительства: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общественное управление</w:t>
      </w:r>
      <w:r>
        <w:rPr>
          <w:rFonts w:ascii="Times New Roman" w:hAnsi="Times New Roman"/>
          <w:sz w:val="20"/>
          <w:szCs w:val="20"/>
        </w:rPr>
        <w:t xml:space="preserve">: максимальный процент застройки земельного участка</w:t>
      </w:r>
      <w:r>
        <w:rPr>
          <w:rFonts w:ascii="Times New Roman" w:hAnsi="Times New Roman"/>
          <w:sz w:val="20"/>
          <w:szCs w:val="20"/>
          <w:highlight w:val="white"/>
        </w:rPr>
        <w:t xml:space="preserve"> – </w:t>
      </w:r>
      <w:r>
        <w:rPr>
          <w:rFonts w:ascii="Times New Roman" w:hAnsi="Times New Roman"/>
          <w:sz w:val="20"/>
          <w:szCs w:val="20"/>
          <w:highlight w:val="white"/>
        </w:rPr>
        <w:t xml:space="preserve">40; пред</w:t>
      </w:r>
      <w:r>
        <w:rPr>
          <w:rFonts w:ascii="Times New Roman" w:hAnsi="Times New Roman"/>
          <w:sz w:val="20"/>
          <w:szCs w:val="20"/>
          <w:highlight w:val="white"/>
        </w:rPr>
        <w:t xml:space="preserve">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</w:rPr>
        <w:t xml:space="preserve">8; минимальный отступ от границ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 м;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деловое управление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</w:rPr>
        <w:t xml:space="preserve">4; минимальный отступ от границ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 м;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банковская и страховая деятельность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</w:rPr>
        <w:t xml:space="preserve">4; минимальный отступ от границ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 м;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обеспечение внутреннего правопорядка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; минимальный отступ от границ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 м;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гостиничное обслуживание</w:t>
      </w:r>
      <w:r>
        <w:rPr>
          <w:rFonts w:ascii="Times New Roman" w:hAnsi="Times New Roman"/>
          <w:sz w:val="20"/>
          <w:szCs w:val="20"/>
          <w:highlight w:val="white"/>
        </w:rPr>
        <w:t xml:space="preserve">: максимальный процент застройки земельного участка – 40; предельное количество этажей – 8; минимальный отступ от гр</w:t>
      </w:r>
      <w:r>
        <w:rPr>
          <w:rFonts w:ascii="Times New Roman" w:hAnsi="Times New Roman"/>
          <w:sz w:val="20"/>
          <w:szCs w:val="20"/>
          <w:highlight w:val="white"/>
        </w:rPr>
        <w:t xml:space="preserve">аниц земельного участка – 3 м; 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магазины</w:t>
      </w:r>
      <w:r>
        <w:rPr>
          <w:rFonts w:ascii="Times New Roman" w:hAnsi="Times New Roman"/>
          <w:sz w:val="20"/>
          <w:szCs w:val="20"/>
          <w:highlight w:val="white"/>
        </w:rPr>
        <w:t xml:space="preserve">: максимальный процент застройки земельного участка – 40; предельное количество этажей – 3; минимальный отступ от гр</w:t>
      </w:r>
      <w:r>
        <w:rPr>
          <w:rFonts w:ascii="Times New Roman" w:hAnsi="Times New Roman"/>
          <w:sz w:val="20"/>
          <w:szCs w:val="20"/>
          <w:highlight w:val="white"/>
        </w:rPr>
        <w:t xml:space="preserve">аниц земельного участка – 3 м;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бытовое обслуживание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5</w:t>
      </w:r>
      <w:r>
        <w:rPr>
          <w:rFonts w:ascii="Times New Roman" w:hAnsi="Times New Roman"/>
          <w:sz w:val="20"/>
          <w:szCs w:val="20"/>
          <w:highlight w:val="white"/>
        </w:rPr>
        <w:t xml:space="preserve">0; предельное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</w:rPr>
        <w:t xml:space="preserve">3; минимальный отступ от границ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 м;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спорт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40; предельное количество этажей – 3;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культурное развитие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40; предельное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</w:rPr>
        <w:t xml:space="preserve">3;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развлечения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</w:t>
      </w:r>
      <w:r>
        <w:rPr>
          <w:rFonts w:ascii="Times New Roman" w:hAnsi="Times New Roman"/>
          <w:sz w:val="20"/>
          <w:szCs w:val="20"/>
          <w:highlight w:val="white"/>
        </w:rPr>
        <w:t xml:space="preserve">ки земельного участка – 5</w:t>
      </w:r>
      <w:r>
        <w:rPr>
          <w:rFonts w:ascii="Times New Roman" w:hAnsi="Times New Roman"/>
          <w:sz w:val="20"/>
          <w:szCs w:val="20"/>
          <w:highlight w:val="white"/>
        </w:rPr>
        <w:t xml:space="preserve">0; </w:t>
      </w:r>
      <w:r>
        <w:rPr>
          <w:rFonts w:ascii="Times New Roman" w:hAnsi="Times New Roman"/>
          <w:sz w:val="20"/>
          <w:szCs w:val="20"/>
          <w:highlight w:val="white"/>
        </w:rPr>
        <w:t xml:space="preserve">предельное количество этажей – 4</w:t>
      </w:r>
      <w:r>
        <w:rPr>
          <w:rFonts w:ascii="Times New Roman" w:hAnsi="Times New Roman"/>
          <w:sz w:val="20"/>
          <w:szCs w:val="20"/>
          <w:highlight w:val="white"/>
        </w:rPr>
        <w:t xml:space="preserve">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социальное обслуживание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4</w:t>
      </w:r>
      <w:r>
        <w:rPr>
          <w:rFonts w:ascii="Times New Roman" w:hAnsi="Times New Roman"/>
          <w:sz w:val="20"/>
          <w:szCs w:val="20"/>
          <w:highlight w:val="white"/>
        </w:rPr>
        <w:t xml:space="preserve">0; предельное количество этажей – 3; минимальный отступ от границ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 м;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коммунальное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 обслуживание</w:t>
      </w:r>
      <w:r>
        <w:rPr>
          <w:rFonts w:ascii="Times New Roman" w:hAnsi="Times New Roman"/>
          <w:sz w:val="20"/>
          <w:szCs w:val="20"/>
          <w:highlight w:val="white"/>
        </w:rPr>
        <w:t xml:space="preserve">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  <w14:ligatures w14:val="none"/>
        </w:rPr>
        <w:t xml:space="preserve">автомобильный транспорт -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40;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:highlight w:val="white"/>
        </w:rPr>
        <w:t xml:space="preserve"> предельное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  <w:t xml:space="preserve">4;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служебные гаражи</w:t>
      </w:r>
      <w:r>
        <w:rPr>
          <w:rFonts w:ascii="Times New Roman" w:hAnsi="Times New Roman"/>
          <w:sz w:val="20"/>
          <w:szCs w:val="20"/>
          <w:highlight w:val="white"/>
        </w:rPr>
        <w:t xml:space="preserve">: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</w:t>
      </w:r>
      <w:r>
        <w:rPr>
          <w:rFonts w:ascii="Times New Roman" w:hAnsi="Times New Roman"/>
          <w:sz w:val="20"/>
          <w:szCs w:val="20"/>
          <w:highlight w:val="white"/>
        </w:rPr>
        <w:t xml:space="preserve">ройки земельного участка – 50</w:t>
      </w:r>
      <w:r>
        <w:rPr>
          <w:rFonts w:ascii="Times New Roman" w:hAnsi="Times New Roman"/>
          <w:sz w:val="20"/>
          <w:szCs w:val="20"/>
          <w:highlight w:val="white"/>
        </w:rPr>
        <w:t xml:space="preserve">; </w:t>
      </w:r>
      <w:r>
        <w:rPr>
          <w:rFonts w:ascii="Times New Roman" w:hAnsi="Times New Roman"/>
          <w:sz w:val="20"/>
          <w:szCs w:val="20"/>
          <w:highlight w:val="white"/>
        </w:rPr>
        <w:t xml:space="preserve">предельное количество этажей – 3</w:t>
      </w:r>
      <w:r>
        <w:rPr>
          <w:rFonts w:ascii="Times New Roman" w:hAnsi="Times New Roman"/>
          <w:sz w:val="20"/>
          <w:szCs w:val="20"/>
          <w:highlight w:val="white"/>
        </w:rPr>
        <w:t xml:space="preserve">; минимальный отступ от границ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 м;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выставочно – ярмарочная деятельность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4</w:t>
      </w:r>
      <w:r>
        <w:rPr>
          <w:rFonts w:ascii="Times New Roman" w:hAnsi="Times New Roman"/>
          <w:sz w:val="20"/>
          <w:szCs w:val="20"/>
          <w:highlight w:val="white"/>
        </w:rPr>
        <w:t xml:space="preserve">0; предельное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</w:rPr>
        <w:t xml:space="preserve">5;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объекты дорожного сервиса</w:t>
      </w:r>
      <w:r>
        <w:rPr>
          <w:rFonts w:ascii="Times New Roman" w:hAnsi="Times New Roman"/>
          <w:sz w:val="20"/>
          <w:szCs w:val="20"/>
          <w:highlight w:val="white"/>
        </w:rPr>
        <w:t xml:space="preserve">: максимальный процент застройки земельного участка – 50;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pStyle w:val="751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  <w:highlight w:val="white"/>
        </w:rPr>
      </w:pP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- срок аренды земельного участка: 5 лет</w:t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6 месяц</w:t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ев;</w:t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/>
          <w:sz w:val="20"/>
          <w:szCs w:val="20"/>
        </w:rPr>
        <w:t xml:space="preserve">04.</w:t>
      </w:r>
      <w:r>
        <w:rPr>
          <w:rFonts w:ascii="Times New Roman" w:hAnsi="Times New Roman"/>
          <w:sz w:val="20"/>
          <w:szCs w:val="20"/>
        </w:rPr>
        <w:t xml:space="preserve">04.2025 № исх.02.11/</w:t>
      </w:r>
      <w:r>
        <w:rPr>
          <w:rFonts w:ascii="Times New Roman" w:hAnsi="Times New Roman"/>
          <w:sz w:val="20"/>
          <w:szCs w:val="20"/>
        </w:rPr>
        <w:t xml:space="preserve">2305д, от </w:t>
      </w:r>
      <w:r>
        <w:rPr>
          <w:rFonts w:ascii="Times New Roman" w:hAnsi="Times New Roman"/>
          <w:sz w:val="20"/>
          <w:szCs w:val="20"/>
        </w:rPr>
        <w:t xml:space="preserve">04.</w:t>
      </w:r>
      <w:r>
        <w:rPr>
          <w:rFonts w:ascii="Times New Roman" w:hAnsi="Times New Roman"/>
          <w:sz w:val="20"/>
          <w:szCs w:val="20"/>
        </w:rPr>
        <w:t xml:space="preserve">04.2025 № исх.02.11/</w:t>
      </w:r>
      <w:r>
        <w:rPr>
          <w:rFonts w:ascii="Times New Roman" w:hAnsi="Times New Roman"/>
          <w:sz w:val="20"/>
          <w:szCs w:val="20"/>
        </w:rPr>
        <w:t xml:space="preserve">2307д; газоснабжение от АО «Газпром газораспределение Кострома» от </w:t>
      </w:r>
      <w:r>
        <w:rPr>
          <w:rFonts w:ascii="Times New Roman" w:hAnsi="Times New Roman"/>
          <w:sz w:val="20"/>
          <w:szCs w:val="20"/>
        </w:rPr>
        <w:t xml:space="preserve">02.</w:t>
      </w:r>
      <w:r>
        <w:rPr>
          <w:rFonts w:ascii="Times New Roman" w:hAnsi="Times New Roman"/>
          <w:sz w:val="20"/>
          <w:szCs w:val="20"/>
        </w:rPr>
        <w:t xml:space="preserve">04.2025 № ИС-15/</w:t>
      </w:r>
      <w:r>
        <w:rPr>
          <w:rFonts w:ascii="Times New Roman" w:hAnsi="Times New Roman"/>
          <w:sz w:val="20"/>
          <w:szCs w:val="20"/>
        </w:rPr>
        <w:t xml:space="preserve">1680, теплоснабжение от </w:t>
      </w:r>
      <w:r>
        <w:rPr>
          <w:rFonts w:ascii="Times New Roman" w:hAnsi="Times New Roman"/>
          <w:sz w:val="20"/>
          <w:szCs w:val="20"/>
        </w:rPr>
        <w:t xml:space="preserve">ПАО «ТГК-2»</w:t>
      </w:r>
      <w:r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 xml:space="preserve">14.</w:t>
      </w:r>
      <w:r>
        <w:rPr>
          <w:rFonts w:ascii="Times New Roman" w:hAnsi="Times New Roman"/>
          <w:sz w:val="20"/>
          <w:szCs w:val="20"/>
        </w:rPr>
        <w:t xml:space="preserve">04.2025 № </w:t>
      </w:r>
      <w:r>
        <w:rPr>
          <w:rFonts w:ascii="Times New Roman" w:hAnsi="Times New Roman"/>
          <w:sz w:val="20"/>
          <w:szCs w:val="20"/>
        </w:rPr>
        <w:t xml:space="preserve">4201/431-2025, от МУП г.Костромы «Городские сети» от 02.04.2025 №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13-01/01350;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начальный размер ежегодной арендной платы: 1 071 700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(Один миллион семьдесят одна тысяча семьсот</w:t>
      </w:r>
      <w:r>
        <w:rPr>
          <w:rFonts w:ascii="Times New Roman" w:hAnsi="Times New Roman"/>
          <w:sz w:val="20"/>
          <w:szCs w:val="20"/>
          <w:highlight w:val="white"/>
        </w:rPr>
        <w:t xml:space="preserve">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шаг аукциона: 32 150</w:t>
      </w:r>
      <w:r>
        <w:rPr>
          <w:rFonts w:ascii="Times New Roman" w:hAnsi="Times New Roman"/>
          <w:sz w:val="20"/>
          <w:szCs w:val="20"/>
          <w:highlight w:val="white"/>
        </w:rPr>
        <w:t xml:space="preserve"> (</w:t>
      </w:r>
      <w:r>
        <w:rPr>
          <w:rFonts w:ascii="Times New Roman" w:hAnsi="Times New Roman"/>
          <w:sz w:val="20"/>
          <w:szCs w:val="20"/>
          <w:highlight w:val="white"/>
        </w:rPr>
        <w:t xml:space="preserve">Тридцать две тысячи сто пятьдесят</w:t>
      </w:r>
      <w:r>
        <w:rPr>
          <w:rFonts w:ascii="Times New Roman" w:hAnsi="Times New Roman"/>
          <w:sz w:val="20"/>
          <w:szCs w:val="20"/>
          <w:highlight w:val="white"/>
        </w:rPr>
        <w:t xml:space="preserve">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размер задатка: </w:t>
      </w:r>
      <w:r>
        <w:rPr>
          <w:rFonts w:ascii="Times New Roman" w:hAnsi="Times New Roman"/>
          <w:sz w:val="20"/>
          <w:szCs w:val="20"/>
          <w:highlight w:val="white"/>
        </w:rPr>
        <w:t xml:space="preserve">1 071 700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(Один миллион семьдесят одна тысяча семьсот</w:t>
      </w:r>
      <w:r>
        <w:rPr>
          <w:rFonts w:ascii="Times New Roman" w:hAnsi="Times New Roman"/>
          <w:sz w:val="20"/>
          <w:szCs w:val="20"/>
          <w:highlight w:val="white"/>
        </w:rPr>
        <w:t xml:space="preserve">)</w:t>
      </w:r>
      <w:r/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  <w:t xml:space="preserve"> рублей</w:t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0"/>
          <w:szCs w:val="20"/>
        </w:rPr>
        <w:t xml:space="preserve">Лот № 2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- адрес</w:t>
      </w:r>
      <w:r>
        <w:rPr>
          <w:rFonts w:ascii="Times New Roman" w:hAnsi="Times New Roman"/>
          <w:color w:val="000000"/>
          <w:sz w:val="20"/>
          <w:szCs w:val="20"/>
        </w:rPr>
        <w:t xml:space="preserve">: Российская Федерация, Костромская область, городской округ город Кострома, город Кострома, </w:t>
      </w:r>
      <w:r>
        <w:rPr>
          <w:rFonts w:ascii="Times New Roman" w:hAnsi="Times New Roman"/>
          <w:color w:val="000000"/>
          <w:sz w:val="20"/>
          <w:szCs w:val="20"/>
        </w:rPr>
        <w:t xml:space="preserve">улица Локомотивная</w:t>
      </w:r>
      <w:r>
        <w:rPr>
          <w:rFonts w:ascii="Times New Roman" w:hAnsi="Times New Roman"/>
          <w:color w:val="000000"/>
          <w:sz w:val="20"/>
          <w:szCs w:val="20"/>
        </w:rPr>
        <w:t xml:space="preserve">, земельный участок 3г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- площадь: 3046</w:t>
      </w:r>
      <w:r>
        <w:rPr>
          <w:rFonts w:ascii="Times New Roman" w:hAnsi="Times New Roman"/>
          <w:sz w:val="20"/>
          <w:szCs w:val="20"/>
        </w:rPr>
        <w:t xml:space="preserve"> кв.м;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- кадастровый номер: 44:27:061202</w:t>
      </w:r>
      <w:r>
        <w:rPr>
          <w:rFonts w:ascii="Times New Roman" w:hAnsi="Times New Roman"/>
          <w:sz w:val="20"/>
          <w:szCs w:val="20"/>
        </w:rPr>
        <w:t xml:space="preserve">:</w:t>
      </w:r>
      <w:r>
        <w:rPr>
          <w:rFonts w:ascii="Times New Roman" w:hAnsi="Times New Roman"/>
          <w:sz w:val="20"/>
          <w:szCs w:val="20"/>
        </w:rPr>
        <w:t xml:space="preserve">695;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- категория земель: земли населенных пунктов;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2"/>
          <w:szCs w:val="22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разрешенное использ</w:t>
      </w:r>
      <w:r>
        <w:rPr>
          <w:rFonts w:ascii="Times New Roman" w:hAnsi="Times New Roman"/>
          <w:sz w:val="20"/>
          <w:szCs w:val="20"/>
        </w:rPr>
        <w:t xml:space="preserve">ов</w:t>
      </w:r>
      <w:r>
        <w:rPr>
          <w:rFonts w:ascii="Times New Roman" w:hAnsi="Times New Roman"/>
          <w:sz w:val="20"/>
          <w:szCs w:val="20"/>
        </w:rPr>
        <w:t xml:space="preserve">ан</w:t>
      </w:r>
      <w:r>
        <w:rPr>
          <w:rFonts w:ascii="Times New Roman" w:hAnsi="Times New Roman"/>
          <w:sz w:val="20"/>
          <w:szCs w:val="20"/>
        </w:rPr>
        <w:t xml:space="preserve">и</w:t>
      </w:r>
      <w:r>
        <w:rPr>
          <w:rFonts w:ascii="Times New Roman" w:hAnsi="Times New Roman"/>
          <w:sz w:val="20"/>
          <w:szCs w:val="20"/>
        </w:rPr>
        <w:t xml:space="preserve">е: </w:t>
      </w:r>
      <w:r>
        <w:rPr>
          <w:rFonts w:ascii="Times New Roman" w:hAnsi="Times New Roman"/>
          <w:sz w:val="20"/>
          <w:szCs w:val="20"/>
        </w:rPr>
        <w:t xml:space="preserve">общественное управление, деловое управление, банковская и страховая деятельность, обеспечение внутреннего правопорядка, гостиничное обслуживание, магазины, бытовое обслуживание, спорт, культурное развитие, развлечения, социальное обслуживание, коммунальное</w:t>
      </w:r>
      <w:r>
        <w:rPr>
          <w:rFonts w:ascii="Times New Roman" w:hAnsi="Times New Roman"/>
          <w:sz w:val="20"/>
          <w:szCs w:val="20"/>
        </w:rPr>
        <w:t xml:space="preserve"> обслуживание, автомобильный транспорт, служебные гаражи, выставочно-ярмарочная деятельность, объекты дорожного сервиса</w:t>
      </w:r>
      <w:r>
        <w:rPr>
          <w:rFonts w:ascii="Times New Roman" w:hAnsi="Times New Roman"/>
          <w:sz w:val="20"/>
          <w:szCs w:val="20"/>
        </w:rPr>
        <w:t xml:space="preserve">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обременения и ограничения: земельный участок расположен </w:t>
      </w:r>
      <w:r>
        <w:rPr>
          <w:rFonts w:ascii="Times New Roman" w:hAnsi="Times New Roman"/>
          <w:sz w:val="20"/>
          <w:szCs w:val="20"/>
          <w:highlight w:val="white"/>
        </w:rPr>
        <w:t xml:space="preserve">в приаэродромной территории аэродрома Кострома (Сокеркино) (зона с особыми условиями использования территории с реес</w:t>
      </w:r>
      <w:r>
        <w:rPr>
          <w:rFonts w:ascii="Times New Roman" w:hAnsi="Times New Roman"/>
          <w:sz w:val="20"/>
          <w:szCs w:val="20"/>
          <w:highlight w:val="white"/>
        </w:rPr>
        <w:t xml:space="preserve">тровым номером 44:00-6.587), третьей, четвертой, пятой и шестой подзонах приаэродромной территории аэродрома Кострома (Сокеркино) (зоны с особыми условиями использования территории с реестровыми номерами 44:00-6.583; 44:00-6.584; 44:00-6.585; 44:00-6.59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охранная зона объекта "КЛ-0,4кВ от ТП-798 ООО Лагуна,ул.Лок.2В (КЛ 0,4 кВ ТП 798 - ул.Локомативная, д.2 в)", расположенного по адресу: Россия, Костромска</w:t>
      </w:r>
      <w:r>
        <w:rPr>
          <w:rFonts w:ascii="Times New Roman" w:hAnsi="Times New Roman"/>
          <w:sz w:val="20"/>
          <w:szCs w:val="20"/>
          <w:highlight w:val="white"/>
        </w:rPr>
        <w:t xml:space="preserve">я область, г. Кострома (</w:t>
      </w:r>
      <w:r>
        <w:rPr>
          <w:rFonts w:ascii="Times New Roman" w:hAnsi="Times New Roman"/>
          <w:sz w:val="20"/>
          <w:szCs w:val="20"/>
          <w:highlight w:val="white"/>
        </w:rPr>
        <w:t xml:space="preserve">зона с особыми условиями использов</w:t>
      </w:r>
      <w:r>
        <w:rPr>
          <w:rFonts w:ascii="Times New Roman" w:hAnsi="Times New Roman"/>
          <w:sz w:val="20"/>
          <w:szCs w:val="20"/>
          <w:highlight w:val="white"/>
        </w:rPr>
        <w:t xml:space="preserve">ания территории с реестровым номером </w:t>
      </w:r>
      <w:r>
        <w:rPr>
          <w:rFonts w:ascii="Times New Roman" w:hAnsi="Times New Roman"/>
          <w:sz w:val="20"/>
          <w:szCs w:val="20"/>
          <w:highlight w:val="white"/>
        </w:rPr>
        <w:t xml:space="preserve">44:27-6.7141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- па</w:t>
      </w:r>
      <w:r>
        <w:rPr>
          <w:rFonts w:ascii="Times New Roman" w:hAnsi="Times New Roman"/>
          <w:sz w:val="20"/>
          <w:szCs w:val="20"/>
        </w:rPr>
        <w:t xml:space="preserve">раметры разрешенного строительства: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2"/>
          <w:szCs w:val="22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общественное управление</w:t>
      </w:r>
      <w:r>
        <w:rPr>
          <w:rFonts w:ascii="Times New Roman" w:hAnsi="Times New Roman"/>
          <w:sz w:val="20"/>
          <w:szCs w:val="20"/>
        </w:rPr>
        <w:t xml:space="preserve">: максимальный процент застройки земельного участка</w:t>
      </w:r>
      <w:r>
        <w:rPr>
          <w:rFonts w:ascii="Times New Roman" w:hAnsi="Times New Roman"/>
          <w:sz w:val="20"/>
          <w:szCs w:val="20"/>
          <w:highlight w:val="white"/>
        </w:rPr>
        <w:t xml:space="preserve"> – </w:t>
      </w:r>
      <w:r>
        <w:rPr>
          <w:rFonts w:ascii="Times New Roman" w:hAnsi="Times New Roman"/>
          <w:sz w:val="20"/>
          <w:szCs w:val="20"/>
          <w:highlight w:val="white"/>
        </w:rPr>
        <w:t xml:space="preserve">40; пред</w:t>
      </w:r>
      <w:r>
        <w:rPr>
          <w:rFonts w:ascii="Times New Roman" w:hAnsi="Times New Roman"/>
          <w:sz w:val="20"/>
          <w:szCs w:val="20"/>
          <w:highlight w:val="white"/>
        </w:rPr>
        <w:t xml:space="preserve">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</w:rPr>
        <w:t xml:space="preserve">8; минимальный отступ от границ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 м;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деловое управление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</w:rPr>
        <w:t xml:space="preserve">4; минимальный отступ от границ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 м;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банковская и страховая деятельность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</w:rPr>
        <w:t xml:space="preserve">4; минимальный отступ от границ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 м;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обеспечение внутреннего правопорядка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40; предельное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; минимальный отступ от границ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 м;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non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гостиничное обслуживание</w:t>
      </w:r>
      <w:r>
        <w:rPr>
          <w:rFonts w:ascii="Times New Roman" w:hAnsi="Times New Roman"/>
          <w:sz w:val="20"/>
          <w:szCs w:val="20"/>
          <w:highlight w:val="white"/>
        </w:rPr>
        <w:t xml:space="preserve">: максимальный процент застройки земельного участка – 40; предельное количество этажей – 8; минимальный отступ от гр</w:t>
      </w:r>
      <w:r>
        <w:rPr>
          <w:rFonts w:ascii="Times New Roman" w:hAnsi="Times New Roman"/>
          <w:sz w:val="20"/>
          <w:szCs w:val="20"/>
          <w:highlight w:val="white"/>
        </w:rPr>
        <w:t xml:space="preserve">аниц земельного участка – 3 м; 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2"/>
          <w:szCs w:val="22"/>
          <w:highlight w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none"/>
        </w:rPr>
        <w:t xml:space="preserve">магазины</w:t>
      </w:r>
      <w:r>
        <w:rPr>
          <w:rFonts w:ascii="Times New Roman" w:hAnsi="Times New Roman"/>
          <w:sz w:val="20"/>
          <w:szCs w:val="20"/>
          <w:highlight w:val="white"/>
        </w:rPr>
        <w:t xml:space="preserve">: максимальный процент застройки земельного участка – 40; предельное количество этажей – 3; минимальный отступ от гр</w:t>
      </w:r>
      <w:r>
        <w:rPr>
          <w:rFonts w:ascii="Times New Roman" w:hAnsi="Times New Roman"/>
          <w:sz w:val="20"/>
          <w:szCs w:val="20"/>
          <w:highlight w:val="white"/>
        </w:rPr>
        <w:t xml:space="preserve">аниц земельного участка – 3 м;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бытовое обслуживание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5</w:t>
      </w:r>
      <w:r>
        <w:rPr>
          <w:rFonts w:ascii="Times New Roman" w:hAnsi="Times New Roman"/>
          <w:sz w:val="20"/>
          <w:szCs w:val="20"/>
          <w:highlight w:val="white"/>
        </w:rPr>
        <w:t xml:space="preserve">0; предельное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</w:rPr>
        <w:t xml:space="preserve">3; минимальный отступ от границ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 м;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спорт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40; предельное количество этажей – 3;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культурное развитие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40; предельное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</w:rPr>
        <w:t xml:space="preserve">3;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развлечения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</w:t>
      </w:r>
      <w:r>
        <w:rPr>
          <w:rFonts w:ascii="Times New Roman" w:hAnsi="Times New Roman"/>
          <w:sz w:val="20"/>
          <w:szCs w:val="20"/>
          <w:highlight w:val="white"/>
        </w:rPr>
        <w:t xml:space="preserve">ки земельного участка – 5</w:t>
      </w:r>
      <w:r>
        <w:rPr>
          <w:rFonts w:ascii="Times New Roman" w:hAnsi="Times New Roman"/>
          <w:sz w:val="20"/>
          <w:szCs w:val="20"/>
          <w:highlight w:val="white"/>
        </w:rPr>
        <w:t xml:space="preserve">0; </w:t>
      </w:r>
      <w:r>
        <w:rPr>
          <w:rFonts w:ascii="Times New Roman" w:hAnsi="Times New Roman"/>
          <w:sz w:val="20"/>
          <w:szCs w:val="20"/>
          <w:highlight w:val="white"/>
        </w:rPr>
        <w:t xml:space="preserve">предельное количество этажей – 4</w:t>
      </w:r>
      <w:r>
        <w:rPr>
          <w:rFonts w:ascii="Times New Roman" w:hAnsi="Times New Roman"/>
          <w:sz w:val="20"/>
          <w:szCs w:val="20"/>
          <w:highlight w:val="white"/>
        </w:rPr>
        <w:t xml:space="preserve">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социальное обслуживание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4</w:t>
      </w:r>
      <w:r>
        <w:rPr>
          <w:rFonts w:ascii="Times New Roman" w:hAnsi="Times New Roman"/>
          <w:sz w:val="20"/>
          <w:szCs w:val="20"/>
          <w:highlight w:val="white"/>
        </w:rPr>
        <w:t xml:space="preserve">0; предельное количество этажей – 3; минимальный отступ от границ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 м;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коммунальное</w:t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 обслуживание</w:t>
      </w:r>
      <w:r>
        <w:rPr>
          <w:rFonts w:ascii="Times New Roman" w:hAnsi="Times New Roman"/>
          <w:sz w:val="20"/>
          <w:szCs w:val="20"/>
          <w:highlight w:val="white"/>
        </w:rPr>
        <w:t xml:space="preserve">: максимальный процент застройки земельного участка – 100; предельное количество этажей – 2; минимальный отступ от границ земельного участка – 0 м;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  <w14:ligatures w14:val="none"/>
        </w:rPr>
        <w:t xml:space="preserve">автомобильный транспорт -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40;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:highlight w:val="white"/>
        </w:rPr>
        <w:t xml:space="preserve"> предельное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  <w:t xml:space="preserve">4;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служебные гаражи</w:t>
      </w:r>
      <w:r>
        <w:rPr>
          <w:rFonts w:ascii="Times New Roman" w:hAnsi="Times New Roman"/>
          <w:sz w:val="20"/>
          <w:szCs w:val="20"/>
          <w:highlight w:val="white"/>
        </w:rPr>
        <w:t xml:space="preserve">: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</w:t>
      </w:r>
      <w:r>
        <w:rPr>
          <w:rFonts w:ascii="Times New Roman" w:hAnsi="Times New Roman"/>
          <w:sz w:val="20"/>
          <w:szCs w:val="20"/>
          <w:highlight w:val="white"/>
        </w:rPr>
        <w:t xml:space="preserve">ройки земельного участка – 50</w:t>
      </w:r>
      <w:r>
        <w:rPr>
          <w:rFonts w:ascii="Times New Roman" w:hAnsi="Times New Roman"/>
          <w:sz w:val="20"/>
          <w:szCs w:val="20"/>
          <w:highlight w:val="white"/>
        </w:rPr>
        <w:t xml:space="preserve">; </w:t>
      </w:r>
      <w:r>
        <w:rPr>
          <w:rFonts w:ascii="Times New Roman" w:hAnsi="Times New Roman"/>
          <w:sz w:val="20"/>
          <w:szCs w:val="20"/>
          <w:highlight w:val="white"/>
        </w:rPr>
        <w:t xml:space="preserve">предельное количество этажей – 3</w:t>
      </w:r>
      <w:r>
        <w:rPr>
          <w:rFonts w:ascii="Times New Roman" w:hAnsi="Times New Roman"/>
          <w:sz w:val="20"/>
          <w:szCs w:val="20"/>
          <w:highlight w:val="white"/>
        </w:rPr>
        <w:t xml:space="preserve">; минимальный отступ от границ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3</w:t>
      </w:r>
      <w:r>
        <w:rPr>
          <w:rFonts w:ascii="Times New Roman" w:hAnsi="Times New Roman"/>
          <w:sz w:val="20"/>
          <w:szCs w:val="20"/>
          <w:highlight w:val="white"/>
        </w:rPr>
        <w:t xml:space="preserve"> м;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выставочно – ярмарочная деятельность</w:t>
      </w:r>
      <w:r>
        <w:rPr>
          <w:rFonts w:ascii="Times New Roman" w:hAnsi="Times New Roman"/>
          <w:sz w:val="20"/>
          <w:szCs w:val="20"/>
          <w:highlight w:val="white"/>
        </w:rPr>
        <w:t xml:space="preserve">: </w:t>
      </w:r>
      <w:r>
        <w:rPr>
          <w:rFonts w:ascii="Times New Roman" w:hAnsi="Times New Roman"/>
          <w:sz w:val="20"/>
          <w:szCs w:val="20"/>
          <w:highlight w:val="white"/>
        </w:rPr>
        <w:t xml:space="preserve">максимальный процент застройки земельного участка – </w:t>
      </w:r>
      <w:r>
        <w:rPr>
          <w:rFonts w:ascii="Times New Roman" w:hAnsi="Times New Roman"/>
          <w:sz w:val="20"/>
          <w:szCs w:val="20"/>
          <w:highlight w:val="white"/>
        </w:rPr>
        <w:t xml:space="preserve">4</w:t>
      </w:r>
      <w:r>
        <w:rPr>
          <w:rFonts w:ascii="Times New Roman" w:hAnsi="Times New Roman"/>
          <w:sz w:val="20"/>
          <w:szCs w:val="20"/>
          <w:highlight w:val="white"/>
        </w:rPr>
        <w:t xml:space="preserve">0; предельное количество этажей – </w:t>
      </w:r>
      <w:r>
        <w:rPr>
          <w:rFonts w:ascii="Times New Roman" w:hAnsi="Times New Roman"/>
          <w:sz w:val="20"/>
          <w:szCs w:val="20"/>
          <w:highlight w:val="white"/>
        </w:rPr>
        <w:t xml:space="preserve">5;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2"/>
          <w:szCs w:val="22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sz w:val="20"/>
          <w:szCs w:val="20"/>
          <w:highlight w:val="white"/>
        </w:rPr>
        <w:t xml:space="preserve">объекты дорожного сервиса</w:t>
      </w:r>
      <w:r>
        <w:rPr>
          <w:rFonts w:ascii="Times New Roman" w:hAnsi="Times New Roman"/>
          <w:sz w:val="20"/>
          <w:szCs w:val="20"/>
          <w:highlight w:val="white"/>
        </w:rPr>
        <w:t xml:space="preserve">: максимальный процент застройки земельного участка – 50; предельная высота зданий – 10,5 м; минимальный отступ от границ земельного участка – 3 м;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2"/>
          <w:szCs w:val="22"/>
          <w:highlight w:val="white"/>
          <w14:ligatures w14:val="none"/>
        </w:rPr>
      </w:r>
    </w:p>
    <w:p>
      <w:pPr>
        <w:pStyle w:val="751"/>
        <w:ind w:firstLine="709"/>
        <w:jc w:val="both"/>
        <w:rPr>
          <w:rFonts w:ascii="Times New Roman" w:hAnsi="Times New Roman"/>
          <w:color w:val="000000" w:themeColor="text1"/>
          <w:sz w:val="22"/>
          <w:szCs w:val="22"/>
          <w:highlight w:val="white"/>
        </w:rPr>
      </w:pP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- срок аренды земельного участка: 5 лет</w:t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6 месяц</w:t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  <w:t xml:space="preserve">ев;</w:t>
      </w:r>
      <w:r>
        <w:rPr>
          <w:rFonts w:ascii="Times New Roman" w:hAnsi="Times New Roman"/>
          <w:color w:val="000000" w:themeColor="text1"/>
          <w:sz w:val="20"/>
          <w:szCs w:val="20"/>
          <w:highlight w:val="white"/>
        </w:rPr>
      </w:r>
      <w:r>
        <w:rPr>
          <w:rFonts w:ascii="Times New Roman" w:hAnsi="Times New Roman"/>
          <w:color w:val="000000" w:themeColor="text1"/>
          <w:sz w:val="22"/>
          <w:szCs w:val="22"/>
          <w:highlight w:val="whit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</w:rPr>
        <w:t xml:space="preserve">- информация о возможности подключения (технологического присоединения): водоснабжение, водоотведение, ливневая канализация от МУП города Костромы «Костромагорводоканал» от </w:t>
      </w:r>
      <w:r>
        <w:rPr>
          <w:rFonts w:ascii="Times New Roman" w:hAnsi="Times New Roman"/>
          <w:sz w:val="20"/>
          <w:szCs w:val="20"/>
        </w:rPr>
        <w:t xml:space="preserve">04.</w:t>
      </w:r>
      <w:r>
        <w:rPr>
          <w:rFonts w:ascii="Times New Roman" w:hAnsi="Times New Roman"/>
          <w:sz w:val="20"/>
          <w:szCs w:val="20"/>
        </w:rPr>
        <w:t xml:space="preserve">04.2025 № исх.02.11/</w:t>
      </w:r>
      <w:r>
        <w:rPr>
          <w:rFonts w:ascii="Times New Roman" w:hAnsi="Times New Roman"/>
          <w:sz w:val="20"/>
          <w:szCs w:val="20"/>
        </w:rPr>
        <w:t xml:space="preserve">2304д, от 04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</w:rPr>
        <w:t xml:space="preserve">04.2025 № исх.02.11/</w:t>
      </w:r>
      <w:r>
        <w:rPr>
          <w:rFonts w:ascii="Times New Roman" w:hAnsi="Times New Roman"/>
          <w:sz w:val="20"/>
          <w:szCs w:val="20"/>
        </w:rPr>
        <w:t xml:space="preserve">2306д; газоснабжение от АО «Газпром газораспределение Кострома» от </w:t>
      </w:r>
      <w:r>
        <w:rPr>
          <w:rFonts w:ascii="Times New Roman" w:hAnsi="Times New Roman"/>
          <w:sz w:val="20"/>
          <w:szCs w:val="20"/>
        </w:rPr>
        <w:t xml:space="preserve">02.</w:t>
      </w:r>
      <w:r>
        <w:rPr>
          <w:rFonts w:ascii="Times New Roman" w:hAnsi="Times New Roman"/>
          <w:sz w:val="20"/>
          <w:szCs w:val="20"/>
        </w:rPr>
        <w:t xml:space="preserve">04.2025 № ИС-15/</w:t>
      </w:r>
      <w:r>
        <w:rPr>
          <w:rFonts w:ascii="Times New Roman" w:hAnsi="Times New Roman"/>
          <w:sz w:val="20"/>
          <w:szCs w:val="20"/>
        </w:rPr>
        <w:t xml:space="preserve">1679, теплоснабжение от </w:t>
      </w:r>
      <w:r>
        <w:rPr>
          <w:rFonts w:ascii="Times New Roman" w:hAnsi="Times New Roman"/>
          <w:sz w:val="20"/>
          <w:szCs w:val="20"/>
        </w:rPr>
        <w:t xml:space="preserve">ПАО «ТГК-2»</w:t>
      </w:r>
      <w:r>
        <w:rPr>
          <w:rFonts w:ascii="Times New Roman" w:hAnsi="Times New Roman"/>
          <w:sz w:val="20"/>
          <w:szCs w:val="20"/>
        </w:rPr>
        <w:t xml:space="preserve"> от </w:t>
      </w:r>
      <w:r>
        <w:rPr>
          <w:rFonts w:ascii="Times New Roman" w:hAnsi="Times New Roman"/>
          <w:sz w:val="20"/>
          <w:szCs w:val="20"/>
        </w:rPr>
        <w:t xml:space="preserve">14.</w:t>
      </w:r>
      <w:r>
        <w:rPr>
          <w:rFonts w:ascii="Times New Roman" w:hAnsi="Times New Roman"/>
          <w:sz w:val="20"/>
          <w:szCs w:val="20"/>
        </w:rPr>
        <w:t xml:space="preserve">04.2025 № </w:t>
      </w:r>
      <w:r>
        <w:rPr>
          <w:rFonts w:ascii="Times New Roman" w:hAnsi="Times New Roman"/>
          <w:sz w:val="20"/>
          <w:szCs w:val="20"/>
        </w:rPr>
        <w:t xml:space="preserve">4201/431-2025, от МУП г.Костромы «Городские сети» от 02.04.2025 №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13-01/01349;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начальный размер ежегодной арендной платы: 1 307 000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(Один миллион триста семь тысяч</w:t>
      </w:r>
      <w:r>
        <w:rPr>
          <w:rFonts w:ascii="Times New Roman" w:hAnsi="Times New Roman"/>
          <w:sz w:val="20"/>
          <w:szCs w:val="20"/>
          <w:highlight w:val="white"/>
        </w:rPr>
        <w:t xml:space="preserve">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шаг аукциона: 39 200</w:t>
      </w:r>
      <w:r>
        <w:rPr>
          <w:rFonts w:ascii="Times New Roman" w:hAnsi="Times New Roman"/>
          <w:sz w:val="20"/>
          <w:szCs w:val="20"/>
          <w:highlight w:val="white"/>
        </w:rPr>
        <w:t xml:space="preserve"> (Тридцать </w:t>
      </w:r>
      <w:r>
        <w:rPr>
          <w:rFonts w:ascii="Times New Roman" w:hAnsi="Times New Roman"/>
          <w:sz w:val="20"/>
          <w:szCs w:val="20"/>
          <w:highlight w:val="white"/>
        </w:rPr>
        <w:t xml:space="preserve">девять тысяч двести) рублей;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2"/>
          <w:szCs w:val="22"/>
          <w:highlight w:val="whit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- размер задатка: 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  <w:t xml:space="preserve">1 307 000</w:t>
      </w:r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  <w:highlight w:val="white"/>
        </w:rPr>
        <w:t xml:space="preserve">(Один миллион триста семь тысяч</w:t>
      </w:r>
      <w:r>
        <w:rPr>
          <w:rFonts w:ascii="Times New Roman" w:hAnsi="Times New Roman"/>
          <w:sz w:val="20"/>
          <w:szCs w:val="20"/>
          <w:highlight w:val="white"/>
        </w:rPr>
        <w:t xml:space="preserve">) рублей</w:t>
      </w:r>
      <w:r/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  <w:t xml:space="preserve">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2"/>
          <w:szCs w:val="22"/>
          <w:highlight w:val="white"/>
        </w:rPr>
      </w:r>
    </w:p>
    <w:p>
      <w:pPr>
        <w:pStyle w:val="751"/>
        <w:contextualSpacing w:val="0"/>
        <w:ind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position w:val="0"/>
          <w:sz w:val="20"/>
          <w:szCs w:val="20"/>
          <w:highlight w:val="whit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4. </w:t>
      </w:r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Организатор аукцио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white"/>
        </w:rPr>
        <w:t xml:space="preserve">на – Управление имущественных и земельных отношений Администрации города Костромы; место нахождения: 156005, Костромская область, город Кострома, площадь Конституции, 2; телефон (4942) 42-68-41, 44-07-64; e-mail: uizo@gradkostroma.ru (далее – организатор).</w:t>
      </w:r>
      <w:r/>
      <w:r>
        <w:rPr>
          <w:rFonts w:ascii="Times New Roman" w:hAnsi="Times New Roman" w:cs="Times New Roman"/>
          <w:position w:val="0"/>
          <w:sz w:val="20"/>
          <w:szCs w:val="20"/>
          <w:highlight w:val="whit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Для участия в аукционе заявители представляют в установленный в извещении о проведении аукциона срок следующие документы: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highlight w:val="white"/>
        </w:rPr>
        <w:t xml:space="preserve">- заявка на участие в аукционе по установленной в извещении о проведении аукциона форме с указанием банковских реквизитов счета для возврата задатка (Приложение 1);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копии документов, удостоверяющих личность заявителя (для граждан)</w:t>
      </w:r>
      <w:r>
        <w:rPr>
          <w:rFonts w:ascii="Times New Roman" w:hAnsi="Times New Roman"/>
          <w:sz w:val="20"/>
          <w:szCs w:val="20"/>
          <w:highlight w:val="white"/>
        </w:rPr>
        <w:t xml:space="preserve"> (копии всех страниц паспорта гражданина Российской Федерации</w:t>
      </w:r>
      <w:r>
        <w:rPr>
          <w:rFonts w:ascii="Times New Roman" w:hAnsi="Times New Roman"/>
          <w:sz w:val="20"/>
          <w:szCs w:val="20"/>
          <w:highlight w:val="white"/>
        </w:rPr>
        <w:t xml:space="preserve">);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документ, подтверждающий полномочия представителя претендента, если с заявкой обращается представитель претендента.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white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  <w:lang w:eastAsia="ru-RU"/>
        </w:rPr>
        <w:t xml:space="preserve">- документы, подтверждающие внесение задатка, представление которых признается заключением соглашения о задатке.</w:t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  <w:r>
        <w:rPr>
          <w:rFonts w:ascii="Times New Roman" w:hAnsi="Times New Roman"/>
          <w:sz w:val="20"/>
          <w:szCs w:val="20"/>
          <w:highlight w:val="whit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Заявка </w:t>
      </w:r>
      <w:r>
        <w:rPr>
          <w:rFonts w:ascii="Times New Roman" w:hAnsi="Times New Roman"/>
          <w:sz w:val="20"/>
          <w:szCs w:val="20"/>
          <w:highlight w:val="white"/>
        </w:rPr>
        <w:t xml:space="preserve">на участие в электронном аукционе с указанием </w:t>
      </w:r>
      <w:r>
        <w:rPr>
          <w:rFonts w:ascii="Times New Roman" w:hAnsi="Times New Roman"/>
          <w:sz w:val="20"/>
          <w:szCs w:val="20"/>
        </w:rPr>
        <w:t xml:space="preserve">банковских реквизитов счета для возврата задатка направляется оператору электронной площадки </w:t>
      </w:r>
      <w:r>
        <w:rPr>
          <w:rFonts w:ascii="Times New Roman" w:hAnsi="Times New Roman" w:eastAsia="Calibri"/>
          <w:sz w:val="20"/>
          <w:szCs w:val="20"/>
        </w:rPr>
        <w:t xml:space="preserve">на сайте </w:t>
      </w:r>
      <w:hyperlink r:id="rId9" w:tooltip="https://www.rts-tender.ru/" w:history="1">
        <w:r>
          <w:rPr>
            <w:rStyle w:val="779"/>
            <w:rFonts w:ascii="Times New Roman" w:hAnsi="Times New Roman" w:eastAsia="Calibri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 w:eastAsia="Calibri"/>
          <w:sz w:val="20"/>
          <w:szCs w:val="20"/>
        </w:rPr>
        <w:t xml:space="preserve"> (ООО «РТС-тендер») </w:t>
      </w:r>
      <w:r>
        <w:rPr>
          <w:rFonts w:ascii="Times New Roman" w:hAnsi="Times New Roman"/>
          <w:sz w:val="20"/>
          <w:szCs w:val="20"/>
        </w:rPr>
        <w:t xml:space="preserve">в форме электронного документа с приложением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</w:t>
      </w:r>
      <w:r>
        <w:rPr>
          <w:rFonts w:ascii="Times New Roman" w:hAnsi="Times New Roman"/>
          <w:sz w:val="20"/>
          <w:szCs w:val="20"/>
        </w:rPr>
        <w:t xml:space="preserve">ителя.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В случа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ленная в установленном порядке, или нотариально заверенная копия такой доверенности. 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</w:rPr>
      </w:pPr>
      <w:r>
        <w:rPr>
          <w:rFonts w:ascii="Times New Roman" w:hAnsi="Times New Roman" w:eastAsia="Calibri"/>
          <w:sz w:val="20"/>
          <w:szCs w:val="20"/>
          <w:lang w:eastAsia="ru-RU"/>
        </w:rPr>
        <w:t xml:space="preserve">Одно лицо имеет право подать только одну заявку </w:t>
      </w:r>
      <w:r>
        <w:rPr>
          <w:rFonts w:ascii="Times New Roman" w:hAnsi="Times New Roman"/>
          <w:bCs/>
          <w:sz w:val="20"/>
          <w:szCs w:val="20"/>
        </w:rPr>
        <w:t xml:space="preserve">на один ЛОТ</w:t>
      </w:r>
      <w:r>
        <w:rPr>
          <w:rFonts w:ascii="Times New Roman" w:hAnsi="Times New Roman" w:eastAsia="Calibri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Calibri"/>
          <w:sz w:val="20"/>
          <w:szCs w:val="20"/>
          <w:highlight w:val="none"/>
        </w:rPr>
      </w:r>
      <w:r>
        <w:rPr>
          <w:rFonts w:ascii="Times New Roman" w:hAnsi="Times New Roman" w:eastAsia="Calibri"/>
          <w:sz w:val="20"/>
          <w:szCs w:val="20"/>
          <w:highlight w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Заявка на участие в аукционе, поступившая по истечении срока приема заявок, возвращается заявителю в день ее поступления.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ок в течение трех рабочих дней со дня поступления уведомления об отзыве заявки. В случае отзыва заявки за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явителем позднее дня окончания срока приема заявок задаток возвращается в порядке, установленном для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Заявитель не допускается к участию в аукционе в следующих случаях: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непредставление необходимых для участия в аукционе документов или представление недостоверных сведений;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непоступление задатка на дату рассмотрения заявок на участие в аукционе;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 w:eastAsia="Calibri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</w:t>
      </w:r>
      <w:r>
        <w:rPr>
          <w:rFonts w:ascii="Times New Roman" w:hAnsi="Times New Roman" w:eastAsia="Calibri"/>
          <w:sz w:val="20"/>
          <w:szCs w:val="20"/>
          <w:highlight w:val="none"/>
          <w:lang w:eastAsia="ru-RU"/>
        </w:rPr>
        <w:t xml:space="preserve">ьей реестре недобросовестных участников аукциона.</w:t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  <w:r>
        <w:rPr>
          <w:rFonts w:ascii="Times New Roman" w:hAnsi="Times New Roman" w:eastAsia="Calibri"/>
          <w:sz w:val="20"/>
          <w:szCs w:val="20"/>
          <w:highlight w:val="none"/>
          <w14:ligatures w14:val="none"/>
        </w:rPr>
      </w:r>
    </w:p>
    <w:p>
      <w:pPr>
        <w:pStyle w:val="818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ата и время начала подачи заявок: 25 апреля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 2025 года с 10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818"/>
        <w:ind w:firstLine="709"/>
        <w:jc w:val="both"/>
        <w:rPr>
          <w:rFonts w:ascii="Times New Roman" w:hAnsi="Times New Roman"/>
          <w:sz w:val="20"/>
          <w:szCs w:val="20"/>
          <w:highlight w:val="white"/>
        </w:rPr>
      </w:pP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Дата и время окончания подачи заявок: 23 мая 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202</w:t>
      </w:r>
      <w:r>
        <w:rPr>
          <w:rFonts w:ascii="Times New Roman" w:hAnsi="Times New Roman" w:eastAsia="Calibri"/>
          <w:b/>
          <w:sz w:val="20"/>
          <w:szCs w:val="20"/>
          <w:highlight w:val="white"/>
          <w:lang w:eastAsia="ru-RU"/>
        </w:rPr>
        <w:t xml:space="preserve">5 года в 18 час 00 мин. по местному времени.</w:t>
      </w:r>
      <w:r>
        <w:rPr>
          <w:rFonts w:ascii="Times New Roman" w:hAnsi="Times New Roman"/>
          <w:sz w:val="20"/>
          <w:szCs w:val="20"/>
          <w:highlight w:val="white"/>
        </w:rPr>
      </w:r>
      <w:r>
        <w:rPr>
          <w:rFonts w:ascii="Times New Roman" w:hAnsi="Times New Roman"/>
          <w:sz w:val="20"/>
          <w:szCs w:val="20"/>
          <w:highlight w:val="white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5.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Срок, место и порядок предоставления информационного сообщения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электронный адрес сайта в информационно-телекоммуникационной сети Интернет </w:t>
      </w:r>
      <w:hyperlink r:id="rId10" w:tooltip="http://www.rts-tender.ru/" w:history="1"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www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 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i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rts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-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tender</w:t>
        </w:r>
        <w:r>
          <w:rPr>
            <w:rStyle w:val="779"/>
            <w:rFonts w:ascii="Times New Roman" w:hAnsi="Times New Roman"/>
            <w:sz w:val="20"/>
            <w:szCs w:val="20"/>
          </w:rPr>
          <w:t xml:space="preserve">.</w:t>
        </w:r>
        <w:r>
          <w:rPr>
            <w:rStyle w:val="779"/>
            <w:rFonts w:ascii="Times New Roman" w:hAnsi="Times New Roman"/>
            <w:sz w:val="20"/>
            <w:szCs w:val="20"/>
            <w:lang w:val="en-US"/>
          </w:rPr>
          <w:t xml:space="preserve">ru</w:t>
        </w:r>
      </w:hyperlink>
      <w:r>
        <w:rPr>
          <w:rFonts w:ascii="Times New Roman" w:hAnsi="Times New Roman"/>
          <w:sz w:val="20"/>
          <w:szCs w:val="20"/>
        </w:rPr>
        <w:t xml:space="preserve">  (ООО «РТС-тендер»)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на котором размещается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информационное сообщение: информационное сообщение размещается на официальных сайтах торгов и на электронной площадке. С информационным сообщением можно ознакомиться с даты размещения информационного сообщения на официальных сайтах: на официальном сайте Ро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ссийской Федерации для размещения информации о проведении торгов, определенном Правительством Российской Федерации, на официальном сайте Администрации города Костромы, а также на электронной площадке </w:t>
      </w:r>
      <w:r>
        <w:rPr>
          <w:rFonts w:ascii="Times New Roman" w:hAnsi="Times New Roman"/>
          <w:sz w:val="20"/>
          <w:szCs w:val="20"/>
          <w:shd w:val="clear" w:color="auto" w:fill="ffffff"/>
        </w:rPr>
      </w:r>
      <w:hyperlink r:id="rId11" w:tooltip="http://www.rts-tender.ru" w:history="1">
        <w:r>
          <w:rPr>
            <w:rStyle w:val="779"/>
            <w:rFonts w:ascii="Times New Roman" w:hAnsi="Times New Roman"/>
            <w:sz w:val="20"/>
            <w:szCs w:val="20"/>
            <w:shd w:val="clear" w:color="auto" w:fill="ffffff"/>
          </w:rPr>
          <w:t xml:space="preserve">www.rts-tender.ru</w:t>
        </w:r>
        <w:r>
          <w:rPr>
            <w:rStyle w:val="779"/>
            <w:sz w:val="20"/>
            <w:szCs w:val="20"/>
          </w:rPr>
        </w:r>
        <w:r>
          <w:rPr>
            <w:rStyle w:val="779"/>
            <w:rFonts w:ascii="Times New Roman" w:hAnsi="Times New Roman"/>
            <w:sz w:val="20"/>
            <w:szCs w:val="20"/>
            <w:shd w:val="clear" w:color="auto" w:fill="ffffff"/>
          </w:rPr>
        </w:r>
      </w:hyperlink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до даты окончания приема заявок.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6.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Порядок внесения и возврата задатка, банковские реквизиты счета для перечисления задатка.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Порядок внесения задатка определяется регламентом работы электронной площадки Организатора www.rts-tender.ru.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</w:t>
      </w:r>
      <w:r>
        <w:rPr>
          <w:rFonts w:ascii="Times New Roman" w:hAnsi="Times New Roman"/>
          <w:sz w:val="20"/>
          <w:szCs w:val="20"/>
          <w:lang w:eastAsia="en-US"/>
        </w:rPr>
        <w:t xml:space="preserve">ля участия в аукционе в электронной форме</w:t>
      </w:r>
      <w:r>
        <w:rPr>
          <w:rFonts w:ascii="Times New Roman" w:hAnsi="Times New Roman"/>
          <w:sz w:val="20"/>
          <w:szCs w:val="20"/>
          <w:lang w:eastAsia="en-US"/>
        </w:rPr>
        <w:t xml:space="preserve"> установлено требование о внесении задатка. В целях исполнения данного требования Заявитель обеспечивает наличие денежных средств на счёте Оператора электронной площадки в размере, не менее суммы задатка, установленного в настоящей аукционной документации.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За</w:t>
      </w:r>
      <w:r>
        <w:rPr>
          <w:rFonts w:ascii="Times New Roman" w:hAnsi="Times New Roman"/>
          <w:sz w:val="20"/>
          <w:szCs w:val="20"/>
          <w:lang w:eastAsia="en-US"/>
        </w:rPr>
        <w:t xml:space="preserve">числение денежных средств на счёт Оператора электронной площадки производится </w:t>
      </w:r>
      <w:r>
        <w:rPr>
          <w:rFonts w:ascii="Times New Roman" w:hAnsi="Times New Roman"/>
          <w:sz w:val="20"/>
          <w:szCs w:val="20"/>
          <w:lang w:eastAsia="en-US"/>
        </w:rPr>
        <w:t xml:space="preserve">в срок до даты рассмотрения заявок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(не позднее: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 xml:space="preserve">27 мая</w:t>
      </w:r>
      <w:r>
        <w:rPr>
          <w:rFonts w:ascii="Times New Roman" w:hAnsi="Times New Roman"/>
          <w:b/>
          <w:bCs/>
          <w:sz w:val="20"/>
          <w:szCs w:val="20"/>
          <w:highlight w:val="white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202</w:t>
      </w:r>
      <w:r>
        <w:rPr>
          <w:rFonts w:ascii="Times New Roman" w:hAnsi="Times New Roman"/>
          <w:b/>
          <w:sz w:val="20"/>
          <w:szCs w:val="20"/>
          <w:highlight w:val="white"/>
          <w:shd w:val="clear" w:color="auto" w:fill="ffffff"/>
        </w:rPr>
        <w:t xml:space="preserve">5 года 10 час. 00 мин</w:t>
      </w:r>
      <w:r>
        <w:rPr>
          <w:rFonts w:ascii="Times New Roman" w:hAnsi="Times New Roman"/>
          <w:sz w:val="20"/>
          <w:szCs w:val="20"/>
          <w:highlight w:val="white"/>
          <w:shd w:val="clear" w:color="auto" w:fill="ffffff"/>
        </w:rPr>
        <w:t xml:space="preserve"> время московское)</w:t>
      </w:r>
      <w:r>
        <w:rPr>
          <w:rFonts w:ascii="Times New Roman" w:hAnsi="Times New Roman"/>
          <w:sz w:val="20"/>
          <w:szCs w:val="20"/>
          <w:lang w:eastAsia="en-US"/>
        </w:rPr>
        <w:t xml:space="preserve"> в соответствии с Регламентом Оператора электронной площадки, размещенными на электронной площадке по следующим реквизитам: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Получатель платежа: ООО «РТС-тендер»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Банковские реквизиты: Филиал «Корпоративный» ПАО «</w:t>
      </w:r>
      <w:r>
        <w:rPr>
          <w:rFonts w:ascii="Times New Roman" w:hAnsi="Times New Roman"/>
          <w:sz w:val="20"/>
          <w:szCs w:val="20"/>
          <w:lang w:eastAsia="en-US"/>
        </w:rPr>
        <w:t xml:space="preserve">Совкомбанк</w:t>
      </w:r>
      <w:r>
        <w:rPr>
          <w:rFonts w:ascii="Times New Roman" w:hAnsi="Times New Roman"/>
          <w:sz w:val="20"/>
          <w:szCs w:val="20"/>
          <w:lang w:eastAsia="en-US"/>
        </w:rPr>
        <w:t xml:space="preserve">»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БИК 044525360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Расчётный счёт: 40702810512030016362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Корр. счёт 30101810445250000360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ИНН 7710357167 КПП 773001001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Назначение платежа: «Внесение гарантийного обеспечения по Соглашению о внесении гарантийного обеспечения, № аналитического счета, без НДС».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средства, перечисленные в соответствии с Регламентом Оператора электронной площадки, размещенными на электронной площадке на счет Оператора электронной площадки, учитываются на счете Заявителя, открытом у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Денежные средства в размере, равном задатку, блокируются Оператором электронной площадки на счете Заявителя в соответствии с Регл</w:t>
      </w:r>
      <w:r>
        <w:rPr>
          <w:rFonts w:ascii="Times New Roman" w:hAnsi="Times New Roman"/>
          <w:sz w:val="20"/>
          <w:szCs w:val="20"/>
          <w:lang w:eastAsia="en-US"/>
        </w:rPr>
        <w:t xml:space="preserve">аментом Оператора электронной площадки, размещенными на электронной площадке.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Подача Заявки и блокирование задатка является заключением соглашения о задатке.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 если денежных средств на счете Заявителя недостаточно, Оператором электронной площадки Заявка не принимается.</w:t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Заявителю необходимо обеспечить на своем аналитическом счете</w:t>
      </w:r>
      <w:r>
        <w:rPr>
          <w:sz w:val="20"/>
          <w:szCs w:val="20"/>
          <w:highlight w:val="none"/>
        </w:rPr>
        <w:t xml:space="preserve"> наличие денежных средств в размере: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задатка для участия в аукционе на дату рассмотрения заявок</w:t>
      </w:r>
      <w:r>
        <w:rPr>
          <w:sz w:val="20"/>
          <w:szCs w:val="20"/>
          <w:highlight w:val="none"/>
        </w:rPr>
        <w:t xml:space="preserve">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highlight w:val="none"/>
        </w:rPr>
        <w:t xml:space="preserve">- гарантийного обеспечения оплаты оказания услуг к моменту подачи заявки</w:t>
      </w:r>
      <w:r>
        <w:rPr>
          <w:sz w:val="20"/>
          <w:szCs w:val="20"/>
          <w:highlight w:val="none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Прекращение блокирования денежных средств на счете Заявителя в соответствии с Регламентом Оператора электронной площадки, размещенными на электронной площадке производится Оператором электронной площадки в следующем порядке: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отозвавшего Заявку до окончания срока приема Заявок, - в течение 3 (трех) рабочих дней со дня поступления уведомления об отзыве Заявки в соответствии с Регламентом Оператора электронной площадки, размещенными на электронной площадке;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Заявителя, не допущенного к участи</w:t>
      </w:r>
      <w:r>
        <w:rPr>
          <w:rFonts w:ascii="Times New Roman" w:hAnsi="Times New Roman"/>
          <w:sz w:val="20"/>
          <w:szCs w:val="20"/>
          <w:lang w:eastAsia="en-US"/>
        </w:rPr>
        <w:t xml:space="preserve">ю в аукционе в электронной форме, - в течение 3 (трех)</w:t>
      </w:r>
      <w:r>
        <w:rPr>
          <w:rFonts w:ascii="Times New Roman" w:hAnsi="Times New Roman"/>
          <w:sz w:val="20"/>
          <w:szCs w:val="20"/>
          <w:lang w:eastAsia="en-US"/>
        </w:rPr>
        <w:t xml:space="preserve"> рабочих дней со дня оформления Протокола рассмотрения заявок на участие в аукционе в электр</w:t>
      </w:r>
      <w:r>
        <w:rPr>
          <w:rFonts w:ascii="Times New Roman" w:hAnsi="Times New Roman"/>
          <w:sz w:val="20"/>
          <w:szCs w:val="20"/>
          <w:lang w:eastAsia="en-US"/>
        </w:rPr>
        <w:t xml:space="preserve">онной форме в соответствии с Регламентом Оператора электронной площадки, размещенными на электронной площадке;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-</w:t>
      </w:r>
      <w:r>
        <w:rPr>
          <w:rFonts w:ascii="Times New Roman" w:hAnsi="Times New Roman"/>
          <w:sz w:val="20"/>
          <w:szCs w:val="20"/>
          <w:lang w:eastAsia="en-US"/>
        </w:rPr>
        <w:tab/>
        <w:t xml:space="preserve">для Участников, участвовавших в а</w:t>
      </w:r>
      <w:r>
        <w:rPr>
          <w:rFonts w:ascii="Times New Roman" w:hAnsi="Times New Roman"/>
          <w:sz w:val="20"/>
          <w:szCs w:val="20"/>
          <w:lang w:eastAsia="en-US"/>
        </w:rPr>
        <w:t xml:space="preserve">укционе в электронной форме, но не победивших в нем, - в течение 3 (трех) рабочих дней со дня подпи</w:t>
      </w:r>
      <w:r>
        <w:rPr>
          <w:rFonts w:ascii="Times New Roman" w:hAnsi="Times New Roman"/>
          <w:sz w:val="20"/>
          <w:szCs w:val="20"/>
          <w:lang w:eastAsia="en-US"/>
        </w:rPr>
        <w:t xml:space="preserve">сания Протокола о результатах аукциона в электронной форме в соответствии с Регламентом Оператора электронной площадки, размещенными на электронной площадке, за исключением участника аукциона, который сделал предпоследнее предложение о цене предмета аукцио</w:t>
      </w:r>
      <w:r>
        <w:rPr>
          <w:rFonts w:ascii="Times New Roman" w:hAnsi="Times New Roman"/>
          <w:sz w:val="20"/>
          <w:szCs w:val="20"/>
          <w:lang w:eastAsia="en-US"/>
        </w:rPr>
        <w:t xml:space="preserve">на. </w:t>
      </w: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Земельного кодекса Российской Федерации (далее – Кодекс)</w:t>
      </w:r>
      <w:r>
        <w:rPr>
          <w:rFonts w:ascii="Times New Roman" w:hAnsi="Times New Roman"/>
          <w:sz w:val="20"/>
          <w:szCs w:val="20"/>
          <w:lang w:eastAsia="en-US"/>
        </w:rPr>
        <w:t xml:space="preserve">, засчитываются в оплату приобретаемого земельного участка.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Задатки, внесенные этими лицами, не заключившими в установленном настоящей статьей порядке договора аренды земельного </w:t>
      </w:r>
      <w:r>
        <w:rPr>
          <w:rFonts w:ascii="Times New Roman" w:hAnsi="Times New Roman"/>
          <w:sz w:val="20"/>
          <w:szCs w:val="20"/>
          <w:lang w:eastAsia="en-US"/>
        </w:rPr>
        <w:t xml:space="preserve">участка вследствие уклонения от заключения указанных договоров, не возвращаются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  <w:highlight w:val="none"/>
        </w:rPr>
      </w:pPr>
      <w:r>
        <w:rPr>
          <w:rFonts w:ascii="Times New Roman" w:hAnsi="Times New Roman"/>
          <w:sz w:val="20"/>
          <w:szCs w:val="20"/>
        </w:rPr>
        <w:t xml:space="preserve">7. Осмотр земельного участка осуществляется претендентами самостоятельно по месту нахождения участка.</w:t>
      </w:r>
      <w:r>
        <w:rPr>
          <w:rFonts w:ascii="Times New Roman" w:hAnsi="Times New Roman"/>
          <w:sz w:val="20"/>
          <w:szCs w:val="20"/>
          <w:highlight w:val="none"/>
        </w:rPr>
      </w:r>
      <w:r>
        <w:rPr>
          <w:rFonts w:ascii="Times New Roman" w:hAnsi="Times New Roman"/>
          <w:sz w:val="20"/>
          <w:szCs w:val="20"/>
          <w:highlight w:val="none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 Вз</w:t>
      </w:r>
      <w:r>
        <w:rPr>
          <w:rFonts w:ascii="Times New Roman" w:hAnsi="Times New Roman"/>
          <w:sz w:val="20"/>
          <w:szCs w:val="20"/>
        </w:rPr>
        <w:t xml:space="preserve">имание оператором электронной площадки с победителя электронного аукциона или иных лиц, с которыми в соответствии с пунктами 13, 14, 20 и 25 статьи 39.12 Кодекса заключается договор аренды земельного </w:t>
      </w:r>
      <w:r>
        <w:rPr>
          <w:rFonts w:ascii="Times New Roman" w:hAnsi="Times New Roman"/>
          <w:sz w:val="20"/>
          <w:szCs w:val="20"/>
        </w:rPr>
        <w:t xml:space="preserve">участка, находящегося в государственной или муниципальной собственности, платы за участие в электронном аукционе производится в соответствии с регламентом и иными регулирующими документами оператора электронной площадки </w:t>
      </w:r>
      <w:hyperlink r:id="rId12" w:tooltip="https://www.rts-tender.ru/" w:history="1">
        <w:r>
          <w:rPr>
            <w:rStyle w:val="779"/>
            <w:rFonts w:ascii="Times New Roman" w:hAnsi="Times New Roman"/>
            <w:sz w:val="20"/>
            <w:szCs w:val="20"/>
          </w:rPr>
          <w:t xml:space="preserve">https://www.rts-tender.ru/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во вкладке ТАРИФЫ/ИМУЩЕСТВЕННЫЕ ТОРГИ.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9.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М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есто, дата, время и порядок определения участников аукциона: 27 мая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 202</w:t>
      </w:r>
      <w:r>
        <w:rPr>
          <w:rFonts w:ascii="Times New Roman" w:hAnsi="Times New Roman"/>
          <w:b/>
          <w:sz w:val="20"/>
          <w:szCs w:val="20"/>
          <w:highlight w:val="white"/>
        </w:rPr>
        <w:t xml:space="preserve">5 года в 10 час. 00 мин</w:t>
      </w:r>
      <w:r>
        <w:rPr>
          <w:rFonts w:ascii="Times New Roman" w:hAnsi="Times New Roman"/>
          <w:sz w:val="20"/>
          <w:szCs w:val="20"/>
          <w:highlight w:val="white"/>
        </w:rPr>
        <w:t xml:space="preserve">. На электронной площадке </w:t>
      </w:r>
      <w:hyperlink r:id="rId13" w:tooltip="http://www.rts-tender.ru/" w:history="1">
        <w:r>
          <w:rPr>
            <w:rStyle w:val="779"/>
            <w:rFonts w:ascii="Times New Roman" w:hAnsi="Times New Roman"/>
            <w:sz w:val="20"/>
            <w:szCs w:val="20"/>
            <w:highlight w:val="white"/>
          </w:rPr>
          <w:t xml:space="preserve">www.rts-tend</w:t>
        </w:r>
        <w:r>
          <w:rPr>
            <w:rStyle w:val="779"/>
            <w:rFonts w:ascii="Times New Roman" w:hAnsi="Times New Roman"/>
            <w:sz w:val="20"/>
            <w:szCs w:val="20"/>
            <w:highlight w:val="white"/>
          </w:rPr>
          <w:t xml:space="preserve">er.ru</w:t>
        </w:r>
      </w:hyperlink>
      <w:r>
        <w:rPr>
          <w:rFonts w:ascii="Times New Roman" w:hAnsi="Times New Roman"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(ООО «РТС-тендер»).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Организатор рассматривает заявки и документы заявителей (претендентов) и устанавливает факт поступления на счёт установленных сумм задатков.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Определение участников аукциона проводится без участия заявителей (претендентов). 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результатам рассмотрения заявок и документов организатор принимает решение о признании заявителей участниками аукциона.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Заявитель, допущенный к участию в аукционе, приобретает статус участника аукциона с момента оформления организатором протокола рассмотрения заявок на участие в аукционе.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1"/>
        <w:ind w:firstLine="709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  <w:highlight w:val="white"/>
        </w:rPr>
        <w:t xml:space="preserve">10.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Дата, место, время и порядок проведения аукциона: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28 мая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202</w:t>
      </w:r>
      <w:r>
        <w:rPr>
          <w:rFonts w:ascii="Times New Roman" w:hAnsi="Times New Roman"/>
          <w:b/>
          <w:bCs/>
          <w:sz w:val="20"/>
          <w:szCs w:val="20"/>
          <w:highlight w:val="white"/>
        </w:rPr>
        <w:t xml:space="preserve">5 года в 10 час. 00 мин. </w:t>
      </w:r>
      <w:r>
        <w:rPr>
          <w:rFonts w:ascii="Times New Roman" w:hAnsi="Times New Roman"/>
          <w:sz w:val="20"/>
          <w:szCs w:val="20"/>
          <w:highlight w:val="white"/>
        </w:rPr>
        <w:t xml:space="preserve">на электронной площадке </w:t>
      </w:r>
      <w:hyperlink r:id="rId14" w:tooltip="https://www.rts-tender.ru/" w:history="1"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https://www.rts-tender</w:t>
        </w:r>
        <w:r>
          <w:rPr>
            <w:rFonts w:ascii="Times New Roman" w:hAnsi="Times New Roman"/>
            <w:color w:val="0000ff"/>
            <w:sz w:val="20"/>
            <w:szCs w:val="20"/>
            <w:highlight w:val="white"/>
            <w:u w:val="single"/>
          </w:rPr>
          <w:t xml:space="preserve">.ru/</w:t>
        </w:r>
      </w:hyperlink>
      <w:r>
        <w:rPr>
          <w:rFonts w:ascii="Times New Roman" w:hAnsi="Times New Roman"/>
          <w:sz w:val="20"/>
          <w:szCs w:val="20"/>
        </w:rPr>
        <w:t xml:space="preserve"> (ООО «РТС-тендер») в соответствии с регламентом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11. Победителем признается учас</w:t>
      </w:r>
      <w:r>
        <w:rPr>
          <w:rFonts w:ascii="Times New Roman" w:hAnsi="Times New Roman"/>
          <w:sz w:val="20"/>
          <w:szCs w:val="20"/>
        </w:rPr>
        <w:t xml:space="preserve">тник, предложивший в ходе аукциона наибольшую цену.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</w:t>
      </w:r>
      <w:r>
        <w:rPr>
          <w:rFonts w:ascii="Times New Roman" w:hAnsi="Times New Roman"/>
          <w:sz w:val="20"/>
          <w:szCs w:val="20"/>
        </w:rPr>
        <w:t xml:space="preserve">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12.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результатам проведения электронного аукциона договор аренды земельного участка, находящегося в государственной или муниципальной собственности, заключается в электронной форме и подписывается усиленной квалифици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рованной электронной подписью сторон такого договора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в аукционе участвовал только один участник или при проведении аукциона не присутствовал ни один из участников аукциона, либо не поступило ни одного п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редложения о цене предмета аукциона, которое предусматривало бы более высокую цену предмета аукциона, аукцион признается несосто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явшимся.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В случае, если аукцион признан несостоявшимся и только один заявитель признан участником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в течение десяти дней со дня подписания протокола рассмотрения заявок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направляет заявителю  проекта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договор аренды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земельного участка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(Приложение 2)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При этом договор аренды земельного участка заключается по начальной цене предмета аукциона (пункт 13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Кодекса).</w:t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:highlight w:val="none"/>
          <w14:ligatures w14:val="none"/>
        </w:rPr>
      </w:r>
    </w:p>
    <w:p>
      <w:pPr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Если единственная заявка на участие в аукционе соответствует указанным в извещении о проведении аукциона условиям и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лицо, подавшее указанную заявку, соответствуют требованиям к участникам аукциона, указанным в извещении о проведении аукциона, Организатор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заключает с таким лицом договор аренды земельного участка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по начальной цене предмета,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 порядке и на усло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виях, указанных выше (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пункт 14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статьи 39.12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Кодекса)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</w:t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  <w:r>
        <w:rPr>
          <w:rFonts w:ascii="Times New Roman" w:hAnsi="Times New Roman" w:cs="Times New Roman"/>
          <w:color w:val="000000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  <w:t xml:space="preserve">Организатор направляет победителю аукциона или единственному принявшему участие в аукционе его участнику  подписанный проекта договора аренды земельного участка в пятидневный срок со дня составлени</w:t>
      </w:r>
      <w:r>
        <w:rPr>
          <w:rFonts w:ascii="Times New Roman" w:hAnsi="Times New Roman"/>
          <w:sz w:val="20"/>
          <w:szCs w:val="20"/>
        </w:rPr>
        <w:t xml:space="preserve">я протокола о результатах аукциона</w:t>
      </w:r>
      <w:r>
        <w:rPr>
          <w:rFonts w:ascii="Times New Roman" w:hAnsi="Times New Roman"/>
          <w:sz w:val="20"/>
          <w:szCs w:val="20"/>
        </w:rPr>
        <w:t xml:space="preserve">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</w:rPr>
        <w:t xml:space="preserve">Не допускается заключение указанных договоров ранее чем через 10 (десять) дней со дня размещения информации о результатах аукциона на официальном сайте, в том числе договоров, указанных в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пунктах 13</w:t>
      </w:r>
      <w:r>
        <w:rPr>
          <w:rFonts w:ascii="Times New Roman" w:hAnsi="Times New Roman"/>
          <w:sz w:val="20"/>
          <w:szCs w:val="20"/>
        </w:rPr>
        <w:t xml:space="preserve"> и </w:t>
      </w:r>
      <w:r>
        <w:rPr>
          <w:rFonts w:ascii="Times New Roman" w:hAnsi="Times New Roman"/>
          <w:sz w:val="20"/>
          <w:szCs w:val="20"/>
        </w:rPr>
        <w:t xml:space="preserve">14</w:t>
      </w:r>
      <w:r>
        <w:rPr>
          <w:rFonts w:ascii="Times New Roman" w:hAnsi="Times New Roman"/>
          <w:sz w:val="20"/>
          <w:szCs w:val="20"/>
        </w:rPr>
        <w:t xml:space="preserve"> Кодекса.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</w:pPr>
      <w:r>
        <w:rPr>
          <w:rFonts w:ascii="Times New Roman" w:hAnsi="Times New Roman"/>
          <w:sz w:val="20"/>
          <w:szCs w:val="20"/>
          <w:lang w:eastAsia="en-US"/>
        </w:rPr>
        <w:t xml:space="preserve">Победитель аукциона в электронной форме или иное лицо, с которым заключается договор аренды</w:t>
      </w:r>
      <w:r>
        <w:rPr>
          <w:rFonts w:ascii="Times New Roman" w:hAnsi="Times New Roman"/>
          <w:sz w:val="20"/>
          <w:szCs w:val="20"/>
          <w:lang w:eastAsia="en-US"/>
        </w:rPr>
        <w:t xml:space="preserve"> земельного участка в соответствии с К</w:t>
      </w:r>
      <w:r>
        <w:rPr>
          <w:rFonts w:ascii="Times New Roman" w:hAnsi="Times New Roman"/>
          <w:sz w:val="20"/>
          <w:szCs w:val="20"/>
          <w:lang w:eastAsia="en-US"/>
        </w:rPr>
        <w:t xml:space="preserve">одексом, обязаны подписать договор в течение 10 (десяти) рабочих дней со дня направления им такого договора.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Если договор аренды земельного участка в течение 10 (десяти) рабочих дней со дня направления победителю аукциона проекта указанного договора не был им подписан и представлен Организатору, Организатор направляет у</w:t>
      </w:r>
      <w:r>
        <w:rPr>
          <w:rFonts w:ascii="Times New Roman" w:hAnsi="Times New Roman"/>
          <w:sz w:val="20"/>
          <w:szCs w:val="20"/>
          <w:lang w:eastAsia="en-US"/>
        </w:rPr>
        <w:t xml:space="preserve">казанный договор участнику</w:t>
      </w:r>
      <w:r>
        <w:rPr>
          <w:rFonts w:ascii="Times New Roman" w:hAnsi="Times New Roman"/>
          <w:sz w:val="20"/>
          <w:szCs w:val="20"/>
          <w:lang w:eastAsia="en-US"/>
        </w:rPr>
        <w:t xml:space="preserve"> аукциона, который сделал предпоследнее предложение о цене предмета аукциона, для их заключения по цене, предложенной таким участником аукциона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Сведения о победителях аукциона, уклонившихся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</w:t>
      </w:r>
      <w:r>
        <w:rPr>
          <w:rFonts w:ascii="Times New Roman" w:hAnsi="Times New Roman"/>
          <w:sz w:val="20"/>
          <w:szCs w:val="20"/>
          <w:lang w:eastAsia="en-US"/>
        </w:rPr>
        <w:t xml:space="preserve">пунктом 13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14</w:t>
      </w:r>
      <w:r>
        <w:rPr>
          <w:rFonts w:ascii="Times New Roman" w:hAnsi="Times New Roman"/>
          <w:sz w:val="20"/>
          <w:szCs w:val="20"/>
          <w:lang w:eastAsia="en-US"/>
        </w:rPr>
        <w:t xml:space="preserve">, </w:t>
      </w:r>
      <w:r>
        <w:rPr>
          <w:rFonts w:ascii="Times New Roman" w:hAnsi="Times New Roman"/>
          <w:sz w:val="20"/>
          <w:szCs w:val="20"/>
          <w:lang w:eastAsia="en-US"/>
        </w:rPr>
        <w:t xml:space="preserve">20</w:t>
      </w:r>
      <w:r>
        <w:rPr>
          <w:rFonts w:ascii="Times New Roman" w:hAnsi="Times New Roman"/>
          <w:sz w:val="20"/>
          <w:szCs w:val="20"/>
          <w:lang w:eastAsia="en-US"/>
        </w:rPr>
        <w:t xml:space="preserve"> или </w:t>
      </w:r>
      <w:r>
        <w:rPr>
          <w:rFonts w:ascii="Times New Roman" w:hAnsi="Times New Roman"/>
          <w:sz w:val="20"/>
          <w:szCs w:val="20"/>
          <w:lang w:eastAsia="en-US"/>
        </w:rPr>
        <w:t xml:space="preserve">25</w:t>
      </w:r>
      <w:r>
        <w:rPr>
          <w:rFonts w:ascii="Times New Roman" w:hAnsi="Times New Roman"/>
          <w:sz w:val="20"/>
          <w:szCs w:val="20"/>
          <w:lang w:eastAsia="en-US"/>
        </w:rPr>
        <w:t xml:space="preserve"> Кодекса и которые уклонились от их заключения, </w:t>
      </w:r>
      <w:r>
        <w:rPr>
          <w:rFonts w:ascii="Times New Roman" w:hAnsi="Times New Roman"/>
          <w:sz w:val="20"/>
          <w:szCs w:val="20"/>
          <w:lang w:eastAsia="en-US"/>
        </w:rPr>
        <w:t xml:space="preserve">Организатор направляет сведения в Федеральную антимонопольную службу России для включения в реестр недобросовестных участников аукциона. </w:t>
      </w:r>
      <w:r>
        <w:rPr>
          <w:rFonts w:ascii="Times New Roman" w:hAnsi="Times New Roman"/>
          <w:sz w:val="20"/>
          <w:szCs w:val="20"/>
          <w:lang w:eastAsia="en-US"/>
        </w:rPr>
        <w:t xml:space="preserve">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В случае, если в течение 10 (десяти) рабочих дней со дня направления Участнику, который сделал предпоследнее предложение о цене Предмета аукциона, этот Участник не представил Организатору подписанный со своей стороны указанный договор</w:t>
      </w:r>
      <w:r>
        <w:rPr>
          <w:rFonts w:ascii="Times New Roman" w:hAnsi="Times New Roman"/>
          <w:sz w:val="20"/>
          <w:szCs w:val="20"/>
          <w:lang w:eastAsia="en-US"/>
        </w:rPr>
        <w:t xml:space="preserve">, Организатор</w:t>
      </w:r>
      <w:r>
        <w:rPr>
          <w:rFonts w:ascii="Times New Roman" w:hAnsi="Times New Roman"/>
          <w:sz w:val="20"/>
          <w:szCs w:val="20"/>
          <w:lang w:eastAsia="en-US"/>
        </w:rPr>
        <w:t xml:space="preserve"> вправе объявить о проведении повторного аукциона в электронной форме или распорядиться земельным участком иным образом в соответствии с Кодексом.</w:t>
      </w:r>
      <w:r>
        <w:rPr>
          <w:rFonts w:ascii="Times New Roman" w:hAnsi="Times New Roman"/>
          <w:sz w:val="20"/>
          <w:szCs w:val="20"/>
          <w:lang w:eastAsia="en-US"/>
        </w:rPr>
        <w:t xml:space="preserve">.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/>
          <w:sz w:val="20"/>
          <w:szCs w:val="20"/>
          <w:lang w:eastAsia="en-US"/>
        </w:rPr>
        <w:t xml:space="preserve">13. </w:t>
      </w:r>
      <w:r>
        <w:rPr>
          <w:rFonts w:ascii="Times New Roman" w:hAnsi="Times New Roman"/>
          <w:sz w:val="20"/>
          <w:szCs w:val="20"/>
        </w:rPr>
        <w:t xml:space="preserve">Организатор </w:t>
      </w:r>
      <w:r>
        <w:rPr>
          <w:rFonts w:ascii="Times New Roman" w:hAnsi="Times New Roman"/>
          <w:sz w:val="20"/>
          <w:szCs w:val="20"/>
        </w:rPr>
        <w:t xml:space="preserve">аукциона вправе отказаться от процедуры проведения аукциона в соответствии с пунктом 4 статьи 448 Гражданского кодекса Российской Федерации. </w:t>
      </w:r>
      <w:r>
        <w:rPr>
          <w:rFonts w:ascii="Times New Roman" w:hAnsi="Times New Roman"/>
          <w:sz w:val="20"/>
          <w:szCs w:val="20"/>
          <w14:ligatures w14:val="none"/>
        </w:rPr>
      </w:r>
      <w:r>
        <w:rPr>
          <w:rFonts w:ascii="Times New Roman" w:hAnsi="Times New Roman"/>
          <w:sz w:val="20"/>
          <w:szCs w:val="20"/>
          <w14:ligatures w14:val="none"/>
        </w:rPr>
      </w:r>
    </w:p>
    <w:p>
      <w:pPr>
        <w:ind w:firstLine="709"/>
        <w:jc w:val="both"/>
        <w:rPr>
          <w:rFonts w:ascii="Times New Roman" w:hAnsi="Times New Roman"/>
          <w:sz w:val="20"/>
          <w:szCs w:val="20"/>
          <w:highlight w:val="none"/>
          <w14:ligatures w14:val="none"/>
        </w:rPr>
      </w:pPr>
      <w:r>
        <w:rPr>
          <w:rFonts w:ascii="Times New Roman" w:hAnsi="Times New Roman"/>
          <w:sz w:val="20"/>
          <w:szCs w:val="20"/>
        </w:rPr>
        <w:t xml:space="preserve">В течение 3 (трех) дней со дня принятия решения об отказе в проведении аукциона организатор аукциона обязан известить участников аукциона об отказе в проведе</w:t>
      </w:r>
      <w:r>
        <w:rPr>
          <w:rFonts w:ascii="Times New Roman" w:hAnsi="Times New Roman"/>
          <w:sz w:val="20"/>
          <w:szCs w:val="20"/>
        </w:rPr>
        <w:t xml:space="preserve">нии </w:t>
      </w:r>
      <w:r>
        <w:rPr>
          <w:rFonts w:ascii="Times New Roman" w:hAnsi="Times New Roman"/>
          <w:sz w:val="20"/>
          <w:szCs w:val="20"/>
        </w:rPr>
        <w:t xml:space="preserve">аукциона и возвратить его участникам внесенные задатки.</w:t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  <w:r>
        <w:rPr>
          <w:rFonts w:ascii="Times New Roman" w:hAnsi="Times New Roman"/>
          <w:sz w:val="20"/>
          <w:szCs w:val="20"/>
          <w:highlight w:val="none"/>
          <w14:ligatures w14:val="none"/>
        </w:rPr>
      </w:r>
    </w:p>
    <w:p>
      <w:pPr>
        <w:contextualSpacing w:val="0"/>
        <w:ind w:firstLine="709"/>
        <w:jc w:val="both"/>
        <w:spacing w:before="0" w:after="0" w:line="240" w:lineRule="auto"/>
        <w:rPr>
          <w:rFonts w:ascii="Times New Roman" w:hAnsi="Times New Roman" w:cs="Times New Roman"/>
          <w:position w:val="0"/>
          <w:sz w:val="22"/>
          <w:szCs w:val="22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14. Земельные участки в соответствии с Правилами землепользования и застройки города Костромы, утвер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жденными постановлением Администрации города Костромы от 28 июня 2021 года № 1130 (с изменениями, внесенными постановлением Администрации города Костромы от 4 июля 2024 года №1101), отнесен к многофункциональной 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  <w:lang w:val="ru-RU"/>
        </w:rPr>
        <w:t xml:space="preserve">общественно – деловой зоне Д-1</w:t>
      </w:r>
      <w:r>
        <w:rPr>
          <w:rFonts w:ascii="Times New Roman" w:hAnsi="Times New Roman" w:eastAsia="Times New Roman" w:cs="Times New Roman"/>
          <w:position w:val="0"/>
          <w:sz w:val="20"/>
          <w:szCs w:val="20"/>
          <w:highlight w:val="none"/>
        </w:rPr>
        <w:t xml:space="preserve">:</w:t>
      </w:r>
      <w:r>
        <w:rPr>
          <w:rFonts w:ascii="Times New Roman" w:hAnsi="Times New Roman" w:cs="Times New Roman"/>
          <w:position w:val="0"/>
          <w:sz w:val="20"/>
          <w:szCs w:val="20"/>
          <w14:ligatures w14:val="none"/>
        </w:rPr>
      </w:r>
      <w:r>
        <w:rPr>
          <w:rFonts w:ascii="Times New Roman" w:hAnsi="Times New Roman" w:cs="Times New Roman"/>
          <w:position w:val="0"/>
          <w:sz w:val="22"/>
          <w:szCs w:val="22"/>
          <w14:ligatures w14:val="none"/>
        </w:rPr>
      </w:r>
    </w:p>
    <w:p>
      <w:pPr>
        <w:ind w:left="0" w:right="0" w:firstLine="0"/>
        <w:jc w:val="center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«2.1. Градостроительный регламент многофункциональной </w:t>
      </w:r>
      <w:r>
        <w:rPr>
          <w:rFonts w:ascii="Times New Roman" w:hAnsi="Times New Roman" w:eastAsia="Times New Roman" w:cs="Times New Roman"/>
          <w:b/>
          <w:color w:val="000000"/>
          <w:sz w:val="20"/>
          <w:szCs w:val="20"/>
        </w:rPr>
        <w:t xml:space="preserve">общественно-деловой зоны Д-1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2.1.1. Многофункциональная общественно-деловая зона Д-1, включая подзоны Д-1.1, Д-1.2, Д-1.3, Д-1.4, Д-1.5, Д-1.6, Д-1.7, Д-1.8 (далее - зона Д-1), выделяется в целях установления правового режима использования и строительства (реконструкции) объектов капи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тального строительства с широким спектром административных, деловых, общественных, культурных, обслуживающих и коммерческих видов использования. Разрешается размещение административных объектов федерального, регионального и местного значения.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В пределах зоны Д-1 допускается размещать объекты бытового обслуживания населения, не имеющие санитарно-защитной зоны, преимущественно встроенные и (или) встроенно-пристроенные. Также допускается размещать объекты производственной деятельности V класса опа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сности.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2.1.2. Новое строительство, реконструкция и развитие территорий, в отношении которых принято решение о комплексном развитии территории, осуществляется на основании утвержденной документации по планировке территории.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дошкольными образовательными организациями - 71 место на 1000 жителей;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образовательными организациями - 93 места на 1000 жителей;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обеспеченность амбулаторно-поликлиническими организациями - 22 посещения в смену на 1000 человек;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максимально допустимый уровень территориальной доступности - 1000 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расчетные показатели минимально допустимого уровня обеспеченности территории объектами коммунальной, транспортной, социальной инфраструктуры и расчетные показатели максимально допустимого уровня территориальной доступности указанных объектов для насел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ения в случае, если в границах территориальной зоны, применительно к которой устанавливается градостроительный регламент, предусматривается осуществление деятельности по комплексному развитию территории, необходимо принимать в соответствии с нормативами гр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адостроительного проектирования города Костромы при разработке документации по планировке территории.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2.1.3. Для земельных участков и объектов капитального строительства, расположенных в пределах зоны Д-1 (подзон Д-1.1, Д-1.2, Д-1.3, Д-1.4, Д-1.5, Д-1.6, Д-1.7, Д-1.8), устанавливаются следующие основные виды разрешенного использования и соответствующие каж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дому виду предельные параметры: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49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 на 1 рабочее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Деловое управление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Д-1-5, Д-1.6, Д-1.7 - 4 этажа: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Банковская и страховая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 на 1 рабочее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Д-1-5, Д-1.6, Д-1.7 - 4 этажа: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Обеспечение внутреннего правопорядка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Дошкольное, начальное и среднее общее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дошкольного образования (детские ясли, детские сады)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- 35 кв. м на 1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Д-1.2, Д-1.3, Д-1.4, Д-1.5, Д-1.6, Д-1.7, Д-1.8 - 30 процентов: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отдельно стоящих объектов - 350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3.5.1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начального и среднего общего образования (школы, лицеи, гимназии)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размеры земельных участков при вместимости: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до 400 мест - 50 кв. м на 1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- 400-500 мест - 60 кв. м на 1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- 500-600 мест - 50 кв. м на 1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- 600-800 мест - 40 кв. м на 1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- 800-1100 мест - 33 кв. м на 1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- 1100-1500 мест - 21 кв. м на 1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- 6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Д-1.2, Д-1.3, Д-1.4, Д-1.5, Д-1.6, Д-1.7, Д-1.8 - 30 процентов: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иные показатели: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максимальная вместимость - 1500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предназначенные для просвещения (художественные,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здания, спортивные сооруже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ния, предназначенные для занятия обучающихся физической культурой и спортом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Среднее и высшее профессиональное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- 1,2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Д-1 - 32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3.5.2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Гостиничное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- 0,003 га на 1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Магазины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- 1,5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Общественное питание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Д-1.2, Д-1.3, Д-1.4, Д-1.5, Д-1.6, Д-1.7, Д-1.8 - 2 этажа: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Бытовое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объектов капитального строительства: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Д-1.2,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процентов; для площадок для занятия спортом - 60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Культурное развитие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торговли (торговые центры, торгово-развлекательные центры (комплексы)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общей площадью свыше 5000 кв. м с целью размещения одной или нескольких организаций, осуществляющих продажу товаров, и (или) оказание услуг в соответствии с содержанием видов разрешенного использования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кодами 4.5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4.6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4.8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4.8.2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по Классификатору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Д-1.6 - 5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Развлечения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Д-1.6 - 4 этажа: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Амбулаторно-поликлиническое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- 0,3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3.4.1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Социальное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размеры земельных участков - 0,001 га на 1 рабочее место;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Коммунальное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 и сооружения, обеспечивающие поставку воды, тепла, электричества, газа, отвод канализационных стоков, очистку и уборку объектов недвижимости (котельные, водозаборы, очистные сооружения, насосные станции, водопроводы, линии электропередач, трансформа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торные подстанции, газопроводы, линии связи, телефонные станции, канализация, стоянки, гаражи и мастерские для обслуживания уборочной и аварийной техники, сооружения, необходимые для сбора и плавки снега)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- 0,001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Д-1.2, Д-1.3, Д-1.4, Д-1.5, Д-1.6, Д-1.7 - 2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линейных объектов 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здания, предназначенные для приема физических и юридических лиц в связи с предоставлением им коммунальных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- 0,04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Д-1.2, Д-1.3, Д-1.4, Д-1.5, Д-1.6, Д-1.7 - 11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 до конька кровли;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 до наивысшей точки здания;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Автомобильный 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Д-1.6 - 4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Служебные гаражи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Д-1 - 50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Д-1.4, Д-1.5, Д-1.6, Д-1.7 - 40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Выставочно-ярмарочная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капитального строительства, сооружения, предназначенные для осуществления выставочно-ярмарочной и конгрессной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Д-1.6 - 5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Объекты дорожного сервиса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- 0,1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зданий - 10,5 м: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 до конька кровли;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 до наивысшей точки здания;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Д-1 - 50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Д-1.4, Д-1.5, Д-1.7 - 40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Земельные участки (территории)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минимальные и максимальные размеры земельных участков и предельные параметры разрешенного строительства, реконструкции объектов капитального строительства не подлежат установлению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Улично-дорожная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12.0.1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Стоянка транспортных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49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- 0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4.9.2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2.1.4. Для земельных участков и объектов капитального строительства, расположенных в пределах зоны Д-1 (подзон Д-1.1, Д-1.2, Д-1.3, Д-1.4, Д-1.5, Д-1.6, Д-1.7, Д-1.8), устанавливаются следующие условно разрешенные виды использования и соответствующие каждо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му виду предельные параметры: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35"/>
        <w:gridCol w:w="1965"/>
        <w:gridCol w:w="2310"/>
        <w:gridCol w:w="3555"/>
        <w:gridCol w:w="72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разрешенного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Наименование объектов капитального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Предельные параметры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Религиозное использование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- 7 кв. м на единицу вместимости;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объектов, предназначенных для религиозных обрядов и церемоний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для иных зданий и сооружений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Д-1 - 50 процентов: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Производственная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 - 3 этажа: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Пищевая 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Амбулаторное ветеринарное обслуживание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- 0,03 га на 10 рабочих мест;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Д-1.2, Д-1.3, Д-1.4, Д-1.5, Д-1.6, Д-1.7, Д-1.8 - 2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3.10.1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Среднеэтажная жилая застройка,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за исключением Д-1.1, Д-1-2, Д-1.3, Д-1.7, Д-1.8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многоквартирные дома этажностью не выше восьми этажей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на одну квартиру - 0,004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Д-1.6 - 8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- 25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Хранение автотранспорта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Д-1.2, Д-1.3, Д-1.4, Д-1.5, Д-1.6, Д-1.7, Д-1.8 - 2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Рынки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Д-1.3, Д-1.4, Д-1.5, Д-1.6, Д-1.7 - 3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Д-1.4, Д-1.5, Д-1.6, Д-1.7, Д-1.8 - 40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Научно-производственная деятельность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- 0,06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Д-1.6 - 9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Д-1.4, Д-1.5, Д-1.6, Д-1.7, Д-1.8 - 40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Легкая 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Д-1.6 - 9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Строительная промышленность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размер земельного участка - 25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Д-1.6 - 9 этажей;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Д-1.8 - 2 надземных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Д-1.7 - 3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Д-1.3 - 4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Д-1.4 - 6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Д-1.5 - 7 надземных этажей,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предельная высота до конька кровли, до наивысшей точки здания (парапета):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Д-1.1 - 8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Д-1.3 - 15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Д-1.4 - 19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Д-1.5 - 23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Д-1.6 - 30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Д-1.7 - 12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Д-1.8 - 9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Д-1 - 60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Д-1.1 - 25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Д-1.2, Д-1.3 - 30 процентов;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Д-1.4, Д-1.5, Д-1.7, Д-1.8 - 40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6.6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96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для собственных нужд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1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 соответствии с </w:t>
            </w:r>
            <w:r>
              <w:rPr>
                <w:rFonts w:ascii="Times New Roman" w:hAnsi="Times New Roman" w:eastAsia="Times New Roman" w:cs="Times New Roman"/>
                <w:color w:val="0000ff"/>
                <w:sz w:val="20"/>
                <w:szCs w:val="20"/>
                <w:u w:val="none"/>
              </w:rPr>
              <w:t xml:space="preserve">Классификатором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5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размер земельного участка - 0,002 га;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минимальный отступ от границ земельного участка - 0 м;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предельное количество этажей: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Д-1, Д-1.2, Д-1.3, Д-1.4, Д-1.5, Д-1.6, Д-1.7, Д-1.8 - 2 этажа;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- Д-1.1 - 2 надземных этажа, один из которых мансардный;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максимальный процент застройки - 100 процентов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2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2.7.2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2.1.5. Для земельных участков и объектов капитального строительства, расположенных в пределах зоны Д-1 (подзон Д-1.1, Д-1.2, Д-1.3, Д-1.4, Д-1.5, Д-1.6, Д-1.7, Д-1.8) устанавливаются следующие вспомогательные виды использования: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Style w:val="95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50"/>
        <w:gridCol w:w="7815"/>
        <w:gridCol w:w="73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N п/п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Вид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Код вида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для среднеэтажной жилой застройки: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благоустройство и озеленение;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обустройство спортивных и детских площадок, площадок для отдыха;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подземных гаражей и наземных автостоянок;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20 процентов от обще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й площади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размещение гаражей и (или) стоянок для автомобилей сотрудников и посетителей торговых центров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81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both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обслуживание указанных мероприятий (застройка экспозиционной площади, организация питания участников мероприятий)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3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beforeAutospacing="0" w:after="0" w:line="240" w:lineRule="auto"/>
              <w:rPr>
                <w:rFonts w:ascii="Times New Roman" w:hAnsi="Times New Roman" w:cs="Times New Roman"/>
                <w:sz w:val="22"/>
                <w:szCs w:val="22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4.10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p>
      <w:pPr>
        <w:ind w:left="0" w:right="0" w:firstLine="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2.1.6. Иные параметры, применяемые к объектам и территориям, расположенным в подзонах зоны Д-1: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процент площади озеленения земельного участка - 25 процентов от общей площади земельного участка.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Процент площади участков, предназначенных для размещения объектов капитального строительства (коммунальные объекты) - 10 процентов от общей площади территории подзон зоны Д-1.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Для подзоны Д-1.1 максимальная площадь застройки и предельные параметры отдельно стоящего объекта капитального строительства - 300 м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, при максимальных параметрах объекта (длина/ширина) 15,0 м x 20,0 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Минимальный размер интервалов в уличном фронте застройки - 12 м, максимальный размер интервалов в уличном фронте застройки - 50 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Отступ объекта капитального строительства от красных линий кварталов: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жилых зданий - от 0 до 6 м (по линии застройки);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для прочих - от 0 до 25 м (в соответствии со строительными нормами и правилами).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Иные параметры, применяемые для прочих отдельно стоящих зданий и сооружений, в том числе некапитальных строений и сооружений: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максимальный процент застройки земельного участка - 10 процентов от общей площади земельного участка;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left="0" w:right="0" w:firstLine="540"/>
        <w:jc w:val="both"/>
        <w:spacing w:before="0" w:beforeAutospacing="0" w:after="0" w:line="240" w:lineRule="auto"/>
        <w:rPr>
          <w:rFonts w:ascii="Times New Roman" w:hAnsi="Times New Roman" w:cs="Times New Roman"/>
          <w:sz w:val="22"/>
          <w:szCs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- максимальная высота - не устанавливается»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sz w:val="20"/>
          <w:szCs w:val="20"/>
          <w:highlight w:val="none"/>
          <w14:ligatures w14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  <w14:ligatures w14:val="none"/>
        </w:rPr>
      </w:r>
    </w:p>
    <w:p>
      <w:pPr>
        <w:ind w:firstLine="709"/>
        <w:jc w:val="both"/>
        <w:spacing w:before="0" w:beforeAutospacing="0" w:after="0" w:afterAutospacing="0" w:line="240" w:lineRule="auto"/>
        <w:rPr>
          <w:sz w:val="20"/>
          <w:szCs w:val="20"/>
          <w:highlight w:val="none"/>
          <w14:ligatures w14:val="none"/>
        </w:rPr>
      </w:pPr>
      <w:r>
        <w:rPr>
          <w:sz w:val="20"/>
          <w:szCs w:val="20"/>
        </w:rPr>
        <w:br w:type="page" w:clear="all"/>
      </w:r>
      <w:r>
        <w:rPr>
          <w:sz w:val="20"/>
          <w:szCs w:val="20"/>
          <w:highlight w:val="none"/>
          <w14:ligatures w14:val="none"/>
        </w:rPr>
      </w:r>
      <w:r>
        <w:rPr>
          <w:sz w:val="20"/>
          <w:szCs w:val="20"/>
          <w:highlight w:val="none"/>
          <w14:ligatures w14:val="none"/>
        </w:rPr>
      </w:r>
    </w:p>
    <w:p>
      <w:pPr>
        <w:pStyle w:val="751"/>
        <w:ind w:firstLine="709"/>
        <w:jc w:val="right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Приложение 1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ФОРМА</w:t>
      </w:r>
      <w:r>
        <w:rPr>
          <w:b/>
          <w:sz w:val="20"/>
          <w:szCs w:val="20"/>
          <w:lang w:eastAsia="zh-CN"/>
        </w:rPr>
        <w:t xml:space="preserve"> </w:t>
      </w:r>
      <w:r>
        <w:rPr>
          <w:b/>
          <w:sz w:val="20"/>
          <w:szCs w:val="20"/>
          <w:lang w:eastAsia="zh-CN"/>
        </w:rPr>
        <w:t xml:space="preserve">ЗАЯВКИ </w:t>
      </w:r>
      <w:r>
        <w:rPr>
          <w:b/>
          <w:sz w:val="20"/>
          <w:szCs w:val="20"/>
          <w:lang w:eastAsia="zh-CN"/>
        </w:rPr>
        <w:t xml:space="preserve">НА УЧАСТИЕ В АУКЦИОНЕ В ЭЛЕКТРОННОЙ ФОРМЕ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В Управление имущественных и земельных отношений Администрации города Костромы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b/>
          <w:sz w:val="20"/>
          <w:szCs w:val="20"/>
          <w:lang w:eastAsia="zh-CN"/>
        </w:rPr>
        <w:t xml:space="preserve">Заявитель</w:t>
      </w:r>
      <w:r>
        <w:rPr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           </w:t>
      </w: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Ф.И.О., гражданина,  индивидуального предпринимателя,</w:t>
      </w:r>
      <w:r>
        <w:rPr>
          <w:bCs/>
          <w:sz w:val="20"/>
          <w:szCs w:val="20"/>
          <w:lang w:eastAsia="zh-CN"/>
        </w:rPr>
        <w:br/>
      </w:r>
      <w:r>
        <w:rPr>
          <w:bCs/>
          <w:sz w:val="20"/>
          <w:szCs w:val="20"/>
          <w:lang w:eastAsia="zh-CN"/>
        </w:rPr>
        <w:t xml:space="preserve">наименование юридического лица с указанием организационно-правовой формы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sz w:val="20"/>
          <w:szCs w:val="20"/>
          <w:lang w:eastAsia="zh-CN"/>
        </w:rPr>
        <w:t xml:space="preserve">в лице</w:t>
      </w:r>
      <w:r>
        <w:rPr>
          <w:sz w:val="20"/>
          <w:szCs w:val="20"/>
          <w:lang w:eastAsia="zh-CN"/>
        </w:rPr>
        <w:t xml:space="preserve"> </w:t>
        <w:tab/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bCs/>
          <w:sz w:val="20"/>
          <w:szCs w:val="20"/>
          <w:lang w:eastAsia="zh-CN"/>
        </w:rPr>
        <w:t xml:space="preserve">Ф.И.О. руководителя юридического лица или уполномоченного лица, лица действующего на основании доверенности</w:t>
      </w:r>
      <w:r>
        <w:rPr>
          <w:sz w:val="20"/>
          <w:szCs w:val="20"/>
          <w:lang w:eastAsia="zh-CN"/>
        </w:rPr>
        <w:t xml:space="preserve">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bottom w:val="single" w:color="000000" w:sz="4" w:space="0"/>
        </w:pBdr>
      </w:pPr>
      <w:r>
        <w:rPr>
          <w:b/>
          <w:bCs/>
          <w:sz w:val="20"/>
          <w:szCs w:val="20"/>
          <w:lang w:eastAsia="zh-CN"/>
        </w:rPr>
        <w:t xml:space="preserve">действующего на основании</w:t>
      </w:r>
      <w:r>
        <w:rPr>
          <w:rStyle w:val="788"/>
          <w:b/>
          <w:bCs/>
          <w:sz w:val="20"/>
          <w:szCs w:val="20"/>
          <w:vertAlign w:val="superscript"/>
          <w:lang w:eastAsia="zh-CN"/>
        </w:rPr>
        <w:footnoteReference w:id="2"/>
      </w:r>
      <w:r>
        <w:rPr>
          <w:b/>
          <w:bCs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(</w:t>
      </w:r>
      <w:r>
        <w:rPr>
          <w:sz w:val="20"/>
          <w:szCs w:val="20"/>
          <w:lang w:eastAsia="zh-CN"/>
        </w:rPr>
        <w:t xml:space="preserve">Устав, Положение, Соглашение, Доверенности и т.д</w:t>
      </w:r>
      <w:r>
        <w:rPr>
          <w:sz w:val="20"/>
          <w:szCs w:val="20"/>
          <w:lang w:eastAsia="zh-CN"/>
        </w:rPr>
        <w:t xml:space="preserve">.)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496" w:type="dxa"/>
        <w:tblInd w:w="-7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10496"/>
      </w:tblGrid>
      <w:tr>
        <w:tblPrEx/>
        <w:trPr>
          <w:trHeight w:val="1124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vAlign w:val="center"/>
            <w:textDirection w:val="lrTb"/>
            <w:noWrap w:val="false"/>
          </w:tcPr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Заявителя: серия                                                   №                                                                  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</w:t>
            </w:r>
            <w:r>
              <w:rPr>
                <w:sz w:val="20"/>
                <w:szCs w:val="20"/>
                <w:lang w:eastAsia="zh-CN"/>
              </w:rPr>
              <w:t xml:space="preserve">_______________</w:t>
            </w:r>
            <w:r>
              <w:rPr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ОГРНИП (для индивидуального предпринимателя): №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ИНН                                       КПП                                          ОГРН                     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179"/>
        </w:trPr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W w:w="10496" w:type="dxa"/>
            <w:textDirection w:val="lrTb"/>
            <w:noWrap w:val="false"/>
          </w:tcPr>
          <w:p>
            <w:pPr>
              <w:pStyle w:val="751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  <w:pBdr>
                <w:bottom w:val="single" w:color="000000" w:sz="4" w:space="0"/>
              </w:pBdr>
            </w:pPr>
            <w:r>
              <w:rPr>
                <w:b/>
                <w:sz w:val="20"/>
                <w:szCs w:val="20"/>
                <w:lang w:eastAsia="zh-CN"/>
              </w:rPr>
              <w:t xml:space="preserve">Представитель Заявителя</w:t>
            </w:r>
            <w:r>
              <w:rPr>
                <w:rStyle w:val="788"/>
                <w:b/>
                <w:sz w:val="20"/>
                <w:szCs w:val="20"/>
                <w:vertAlign w:val="superscript"/>
                <w:lang w:eastAsia="zh-CN"/>
              </w:rPr>
              <w:footnoteReference w:id="3"/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zh-CN"/>
              </w:rPr>
              <w:t xml:space="preserve">(Ф.И.О,)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Паспортные данные представителя: серия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дата выдачи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кем выдан: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RepresentativePassportIssuer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Адрес:  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751"/>
              <w:jc w:val="both"/>
              <w:spacing w:before="0" w:beforeAutospacing="0" w:after="0" w:afterAutospacing="0" w:line="240" w:lineRule="auto"/>
              <w:widowControl w:val="off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zh-CN"/>
              </w:rPr>
              <w:t xml:space="preserve">Контактный телефон:  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u w:val="single"/>
                <w:lang w:eastAsia="zh-CN"/>
              </w:rPr>
              <w:instrText xml:space="preserve">RepresentativePhoneNumber</w:instrTex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separate"/>
            </w:r>
            <w:r>
              <w:rPr>
                <w:b/>
                <w:bCs/>
                <w:sz w:val="20"/>
                <w:szCs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szCs w:val="20"/>
                <w:u w:val="single"/>
                <w:lang w:eastAsia="zh-CN"/>
              </w:rPr>
              <w:fldChar w:fldCharType="end"/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  <w:r>
              <w:rPr>
                <w:rFonts w:eastAsia="Calibri"/>
                <w:b/>
                <w:bCs/>
                <w:sz w:val="20"/>
                <w:szCs w:val="20"/>
              </w:rPr>
            </w:r>
          </w:p>
        </w:tc>
      </w:tr>
    </w:tbl>
    <w:p>
      <w:pPr>
        <w:pStyle w:val="751"/>
        <w:ind w:hanging="1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b/>
          <w:sz w:val="20"/>
          <w:szCs w:val="20"/>
          <w:lang w:eastAsia="zh-CN"/>
        </w:rPr>
        <w:t xml:space="preserve">принял решение об участии в аукционе на право заключения договора аренды земельного участка </w:t>
      </w:r>
      <w:r>
        <w:rPr>
          <w:b/>
          <w:sz w:val="20"/>
          <w:szCs w:val="20"/>
          <w:lang w:eastAsia="zh-CN"/>
        </w:rPr>
        <w:t xml:space="preserve">с кадастровым номером:_______________________________________, расположенного по адресу (местоположение): ___________________________________________________________________________, в электронной форме, и обязуется обеспечить поступление задатка в размере</w:t>
      </w:r>
      <w:r>
        <w:rPr>
          <w:sz w:val="20"/>
          <w:szCs w:val="20"/>
          <w:u w:val="single"/>
          <w:lang w:eastAsia="zh-CN"/>
        </w:rPr>
        <w:t xml:space="preserve">                                                                            </w:t>
      </w:r>
      <w:r>
        <w:rPr>
          <w:b/>
          <w:sz w:val="20"/>
          <w:szCs w:val="20"/>
          <w:lang w:eastAsia="zh-CN"/>
        </w:rPr>
        <w:t xml:space="preserve">руб.</w:t>
      </w:r>
      <w:r>
        <w:rPr>
          <w:sz w:val="20"/>
          <w:szCs w:val="20"/>
          <w:u w:val="single"/>
          <w:lang w:eastAsia="zh-CN"/>
        </w:rPr>
        <w:t xml:space="preserve">            (сумма прописью)</w:t>
      </w:r>
      <w:r>
        <w:rPr>
          <w:sz w:val="20"/>
          <w:szCs w:val="20"/>
          <w:lang w:eastAsia="zh-CN"/>
        </w:rPr>
        <w:t xml:space="preserve">, </w:t>
      </w:r>
      <w:r>
        <w:rPr>
          <w:b/>
          <w:sz w:val="20"/>
          <w:szCs w:val="20"/>
          <w:lang w:eastAsia="zh-CN"/>
        </w:rPr>
        <w:t xml:space="preserve">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</w:rPr>
        <w:t xml:space="preserve">Банковские реквизиты для возврата задатка: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Банк ______________________________________________________________________________________________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Расчётный счёт _______________________________ Корреспондентский счёт 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БИК_________________________________________ Лицевой счёт 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Ф. И. О. (наименование) получателя 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142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b/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обязуется: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электронной площадки.</w:t>
      </w:r>
      <w:r>
        <w:rPr>
          <w:rStyle w:val="788"/>
          <w:sz w:val="20"/>
          <w:szCs w:val="20"/>
          <w:vertAlign w:val="superscript"/>
          <w:lang w:eastAsia="zh-CN"/>
        </w:rPr>
        <w:footnoteReference w:id="4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1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В случае признания Победителем аукциона в электронной форме, а также в иных случаях, предусмо</w:t>
      </w:r>
      <w:r>
        <w:rPr>
          <w:sz w:val="20"/>
          <w:szCs w:val="20"/>
          <w:lang w:eastAsia="zh-CN"/>
        </w:rPr>
        <w:t xml:space="preserve">тренных пунктами 13 и 14 статьи 39.12 Земельного кодекса Российской Федерации, заключить договор с Арендодателем (Продавцом) в соответствии с порядком, сроками и требованиями, установленными Извещением о проведении аукциона в электронной форме и договором.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согласен и принимает все условия, требования, положения Извещени</w:t>
      </w:r>
      <w:r>
        <w:rPr>
          <w:sz w:val="20"/>
          <w:szCs w:val="20"/>
          <w:lang w:eastAsia="zh-CN"/>
        </w:rPr>
        <w:t xml:space="preserve">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20"/>
          <w:szCs w:val="20"/>
          <w:lang w:eastAsia="zh-CN"/>
        </w:rPr>
        <w:t xml:space="preserve">и не имеет претензий к ним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Ответственность за достоверность представленных документов и информации несет Заявитель.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с частью 5 статьи 4</w:t>
      </w:r>
      <w:r>
        <w:rPr>
          <w:sz w:val="20"/>
          <w:szCs w:val="20"/>
          <w:lang w:eastAsia="zh-CN"/>
        </w:rPr>
        <w:t xml:space="preserve">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 </w:t>
      </w:r>
      <w:r>
        <w:rPr>
          <w:rStyle w:val="788"/>
          <w:sz w:val="20"/>
          <w:szCs w:val="20"/>
          <w:vertAlign w:val="superscript"/>
          <w:lang w:eastAsia="zh-CN"/>
        </w:rPr>
        <w:footnoteReference w:id="5"/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numPr>
          <w:ilvl w:val="0"/>
          <w:numId w:val="12"/>
        </w:numPr>
        <w:ind w:left="142" w:hanging="142"/>
        <w:jc w:val="both"/>
        <w:spacing w:before="0" w:beforeAutospacing="0" w:after="0" w:afterAutospacing="0" w:line="240" w:lineRule="auto"/>
        <w:tabs>
          <w:tab w:val="left" w:pos="142" w:leader="none"/>
          <w:tab w:val="clear" w:pos="708" w:leader="none"/>
        </w:tabs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Заявитель осведомлен и согласен с тем, что Арендодатель (Прод</w:t>
      </w:r>
      <w:r>
        <w:rPr>
          <w:sz w:val="20"/>
          <w:szCs w:val="20"/>
          <w:lang w:eastAsia="zh-CN"/>
        </w:rPr>
        <w:t xml:space="preserve">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</w:t>
      </w:r>
      <w:r>
        <w:rPr>
          <w:sz w:val="20"/>
          <w:szCs w:val="20"/>
          <w:lang w:eastAsia="zh-CN"/>
        </w:rPr>
        <w:t xml:space="preserve">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</w:t>
      </w:r>
      <w:r>
        <w:rPr>
          <w:sz w:val="20"/>
          <w:szCs w:val="20"/>
          <w:lang w:eastAsia="zh-CN"/>
        </w:rPr>
        <w:t xml:space="preserve">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/>
          <w:sz w:val="20"/>
          <w:szCs w:val="20"/>
          <w:lang w:eastAsia="zh-CN"/>
        </w:rPr>
        <w:t xml:space="preserve">ruи сайте Оператора электронной площадки</w:t>
      </w:r>
      <w:r>
        <w:rPr>
          <w:sz w:val="20"/>
          <w:szCs w:val="20"/>
          <w:lang w:eastAsia="zh-CN"/>
        </w:rPr>
        <w:t xml:space="preserve">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left="142" w:hanging="142"/>
        <w:jc w:val="both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8.В соответствии с Ф</w:t>
      </w:r>
      <w:r>
        <w:rPr>
          <w:sz w:val="20"/>
          <w:szCs w:val="20"/>
          <w:lang w:eastAsia="zh-CN"/>
        </w:rPr>
        <w:t xml:space="preserve">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</w:t>
      </w:r>
      <w:r>
        <w:rPr>
          <w:sz w:val="20"/>
          <w:szCs w:val="20"/>
          <w:lang w:eastAsia="zh-CN"/>
        </w:rPr>
        <w:t xml:space="preserve">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</w:t>
      </w:r>
      <w:r>
        <w:rPr>
          <w:sz w:val="20"/>
          <w:szCs w:val="20"/>
          <w:lang w:eastAsia="zh-CN"/>
        </w:rPr>
        <w:t xml:space="preserve">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</w:t>
      </w:r>
      <w:r>
        <w:rPr>
          <w:sz w:val="20"/>
          <w:szCs w:val="20"/>
          <w:lang w:eastAsia="zh-CN"/>
        </w:rPr>
        <w:t xml:space="preserve">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  <w:lang w:eastAsia="zh-CN"/>
        </w:rPr>
        <w:t xml:space="preserve">Подписано усиленной квалифицированной электронной подписью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Style w:val="951"/>
        <w:tblW w:w="5000" w:type="pct"/>
        <w:tblInd w:w="0" w:type="dxa"/>
        <w:tblLayout w:type="fixed"/>
        <w:tblCellMar>
          <w:left w:w="85" w:type="dxa"/>
          <w:top w:w="28" w:type="dxa"/>
          <w:right w:w="85" w:type="dxa"/>
          <w:bottom w:w="28" w:type="dxa"/>
        </w:tblCellMar>
        <w:tblLook w:val="04A0" w:firstRow="1" w:lastRow="0" w:firstColumn="1" w:lastColumn="0" w:noHBand="0" w:noVBand="1"/>
      </w:tblPr>
      <w:tblGrid>
        <w:gridCol w:w="9498"/>
      </w:tblGrid>
      <w:tr>
        <w:tblPrEx/>
        <w:trPr>
          <w:trHeight w:val="262"/>
        </w:trPr>
        <w:tc>
          <w:tcPr>
            <w:tcBorders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электронной подписи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Владелец: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Организация: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  <w:lang w:val="ru-RU" w:eastAsia="zh-CN" w:bidi="ar-SA"/>
              </w:rPr>
              <w:instrText xml:space="preserve">Документ_ЭлПодпись_Организация_Участник</w:instrText>
            </w:r>
            <w:r>
              <w:rPr>
                <w:sz w:val="20"/>
                <w:szCs w:val="20"/>
                <w:lang w:val="ru-RU" w:eastAsia="zh-CN" w:bidi="ar-SA"/>
              </w:rPr>
              <w:fldChar w:fldCharType="separate"/>
            </w:r>
            <w:r>
              <w:rPr>
                <w:b/>
                <w:bCs/>
                <w:sz w:val="20"/>
                <w:szCs w:val="20"/>
                <w:lang w:val="ru-RU" w:eastAsia="zh-CN" w:bidi="ar-SA"/>
              </w:rPr>
              <w:t xml:space="preserve">.</w:t>
            </w:r>
            <w:r>
              <w:rPr>
                <w:sz w:val="20"/>
                <w:szCs w:val="20"/>
                <w:lang w:val="ru-RU" w:eastAsia="zh-CN" w:bidi="ar-SA"/>
              </w:rPr>
              <w:fldChar w:fldCharType="end"/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Подписано: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 w:eastAsia="zh-CN" w:bidi="ar-SA"/>
              </w:rPr>
              <w:t xml:space="preserve">Данные сертификата</w:t>
            </w: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17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Серийный номер: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  <w:t xml:space="preserve">Срок действия: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81"/>
        </w:trPr>
        <w:tc>
          <w:tcPr>
            <w:tcBorders>
              <w:top w:val="none" w:color="000000" w:sz="4" w:space="0"/>
            </w:tcBorders>
            <w:tcW w:w="9498" w:type="dxa"/>
            <w:textDirection w:val="lrTb"/>
            <w:noWrap w:val="false"/>
          </w:tcPr>
          <w:p>
            <w:pPr>
              <w:pStyle w:val="751"/>
              <w:jc w:val="left"/>
              <w:spacing w:before="0" w:beforeAutospacing="0" w:after="0" w:afterAutospacing="0" w:line="240" w:lineRule="auto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 w:eastAsia="zh-CN" w:bidi="ar-SA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751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br w:type="page" w:clear="all"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</w:t>
      </w:r>
      <w:r>
        <w:rPr>
          <w:sz w:val="20"/>
          <w:szCs w:val="20"/>
        </w:rPr>
        <w:t xml:space="preserve">Приложение 2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751"/>
        <w:ind w:firstLine="8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ДОГОВОР АРЕНДЫ ЗЕМЕЛЬНОГО УЧАСТКА №._______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город Кострома                                                                                                                 «___» _________ 20__ года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Управление имущественных и земельных отношений Администрации города Костромы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_____________________________________, действующего на основании П</w:t>
      </w:r>
      <w:r>
        <w:rPr>
          <w:rFonts w:ascii="Times New Roman" w:hAnsi="Times New Roman" w:cs="Times New Roman"/>
          <w:sz w:val="20"/>
          <w:szCs w:val="20"/>
        </w:rPr>
        <w:t xml:space="preserve">оложения об Управлении, утвержденного постановлением Администрации города Костромы от 23 марта 2015 года № 604 и кадрового распоряжения Администрации города Костромы от ___________________________, именуемое в дальнейшем «Арендодатель», с одной стороны, и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в лице ____________________________, действующего на </w:t>
      </w:r>
      <w:r>
        <w:rPr>
          <w:rFonts w:ascii="Times New Roman" w:hAnsi="Times New Roman" w:cs="Times New Roman"/>
          <w:sz w:val="20"/>
          <w:szCs w:val="20"/>
        </w:rPr>
        <w:t xml:space="preserve">основании __________, именуемое в дальнейшем «Арендатор», совместно именуемые «Стороны», в соответствии со статьями 39.1, 39.6, 39.7, 39.8, 39.12, 39.13 Земельного кодекса Российской Федерации, заключили настоящий договор (далее – Договор) о нижеследующем: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Предмет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</w:t>
      </w:r>
      <w:r>
        <w:rPr>
          <w:rFonts w:ascii="Times New Roman" w:hAnsi="Times New Roman" w:cs="Times New Roman"/>
          <w:sz w:val="20"/>
          <w:szCs w:val="20"/>
        </w:rPr>
        <w:t xml:space="preserve">тель обязуется предоставить Арендатору в аренду для строительства земельный участок из земель населенных пунктов, государственная собственность на которые не разграничена, с кадастровым номером ___________________ по адресу: Российская Федерация, Костромск</w:t>
      </w:r>
      <w:r>
        <w:rPr>
          <w:rFonts w:ascii="Times New Roman" w:hAnsi="Times New Roman" w:cs="Times New Roman"/>
          <w:sz w:val="20"/>
          <w:szCs w:val="20"/>
        </w:rPr>
        <w:t xml:space="preserve">ая область, город Кострома, ________________ (далее – Участок), вид разрешенного использования: ___________________, в границах, указанных в кадастровом паспорте Участка (дата и номер кадастрового паспорта), общей площадью __________ квадратных метра (ов).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4"/>
        </w:numPr>
        <w:ind w:left="0"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Участок имеет следующие ограничения (обременения):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Внесение изменений в Договор в части изменения вида разрешенного использования земельного участка не допускается.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Срок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 заключен сроком на ______ с даты его подписания Сторонами.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Договор, заключенный на срок один год и более, подлежит государственной регистрации в Управлении Федеральной службы государственной регистрации, кадастра и картографии по Костромской области.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5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земельного участка не имеет преимущественного права на заключения на новый срок договора аренды такого земельного участка без проведения торгов.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right="-5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аренду земельного участка, указанного в пункте 1.1. Договора начисляется ежегодная арендная плата в сумме ______________ рублей.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tabs>
          <w:tab w:val="clear" w:pos="0" w:leader="none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 перечисляет Арендодателю на расчетный сче</w:t>
      </w:r>
      <w:r>
        <w:rPr>
          <w:rFonts w:ascii="Times New Roman" w:hAnsi="Times New Roman" w:cs="Times New Roman"/>
          <w:sz w:val="20"/>
          <w:szCs w:val="20"/>
        </w:rPr>
        <w:t xml:space="preserve">т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Управления Федерального казначейства по Костромской области (Управление имущественных и земельных отношений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Администрации города Костромы),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ИНН 4401006568, КПП 440101001, единый казначейский счет 40102810945370000034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казначейский счет 03100643000000014100,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б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анк получателя ОТДЕЛЕНИЕ КОСТРОМА БАНКА РОССИИ//УФК ПО КОСТРОМСКОЙ ОБЛАСТИ г. Кострома, БИК 013469126, КБК 96611105012040000120, ОКТМО 34701000</w:t>
      </w:r>
      <w:r>
        <w:rPr>
          <w:rFonts w:ascii="Times New Roman" w:hAnsi="Times New Roman" w:cs="Times New Roman"/>
          <w:sz w:val="20"/>
          <w:szCs w:val="20"/>
        </w:rPr>
        <w:t xml:space="preserve">,</w:t>
      </w:r>
      <w:r>
        <w:rPr>
          <w:rFonts w:ascii="Times New Roman" w:hAnsi="Times New Roman" w:cs="Times New Roman"/>
          <w:sz w:val="20"/>
          <w:szCs w:val="20"/>
        </w:rPr>
        <w:t xml:space="preserve"> «За аренду земельного участка по адресу: ____________________</w:t>
      </w:r>
      <w:r>
        <w:rPr>
          <w:rFonts w:ascii="Times New Roman" w:hAnsi="Times New Roman" w:cs="Times New Roman"/>
          <w:sz w:val="20"/>
          <w:szCs w:val="20"/>
        </w:rPr>
        <w:t xml:space="preserve">_____________, договор № ______________________», арендную плату за за первый год аренды земельного участка, указанного в пункте 1.1 Договора, в сумме ______________________ (с учетом задатка) в течение 10 дней с даты подписания настоящего Д</w:t>
      </w:r>
      <w:r>
        <w:rPr>
          <w:rFonts w:ascii="Times New Roman" w:hAnsi="Times New Roman" w:cs="Times New Roman"/>
          <w:sz w:val="20"/>
          <w:szCs w:val="20"/>
        </w:rPr>
        <w:t xml:space="preserve">оговора. Днем оплаты арендной платы, указанной в Договоре, считается день зачисления денежных средств на расчетный счет Арендодателя. Перечисленный Арендодателю задаток за участие в аукционе на право заключения договора аренды земельного участка в размере </w:t>
      </w: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зачисляется в счет арендной платы за земельный участок по настоящему Договору.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Сроки внесения арендной платы: до окончания срока аренды ежегодно в сумме _____________ рублей не позднее __________.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Размер арендной платы устанавливается на основании протокола о результатах торгов. В сумму первого платежа по Договору включается сумма задатка, уплаченная Покупателем по заявке.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 превышения платежа над начисленной суммой по арендной плате погашается задолженность по п</w:t>
      </w:r>
      <w:r>
        <w:rPr>
          <w:rFonts w:ascii="Times New Roman" w:hAnsi="Times New Roman" w:cs="Times New Roman"/>
          <w:sz w:val="20"/>
          <w:szCs w:val="20"/>
        </w:rPr>
        <w:t xml:space="preserve">еням за первый период (и последующий за ним), в котором образовалась задолженность. После погашения пеней, штрафов и всей суммы задолженности по арендной плате, оставшаяся сумма считается авансовым внесением арендной платы за ближайший оплачиваемый период.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Взаиморасчеты сторон по настоящему Договору фиксируются актом сверки, который составляется Арендодателем. В течение пяти рабочих дней со дня получения акта сверки, Арендатор обязан подписать его или представить мотивированный отказ.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в течение указанного срока Арендатор не подписывает акт сверки и не представляет мотивированный отказ от его подписания, акт сверки считается подписанным Арендатором.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numPr>
          <w:ilvl w:val="1"/>
          <w:numId w:val="16"/>
        </w:numPr>
        <w:ind w:left="0"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случае, одностороннего отказа, предусмотренного пунктом 6.2. настоящего Договора, </w:t>
      </w:r>
      <w:r>
        <w:rPr>
          <w:rFonts w:ascii="Times New Roman" w:hAnsi="Times New Roman" w:cs="Times New Roman"/>
          <w:sz w:val="20"/>
          <w:szCs w:val="20"/>
        </w:rPr>
        <w:t xml:space="preserve">досрочного расторжения Договора в случаях, предусмотренных пунктами 6.2.1.-6.2.6. настоящего Договора, арендная плата, </w:t>
      </w:r>
      <w:r>
        <w:rPr>
          <w:rFonts w:ascii="Times New Roman" w:hAnsi="Times New Roman" w:cs="Times New Roman"/>
          <w:sz w:val="20"/>
          <w:szCs w:val="20"/>
        </w:rPr>
        <w:t xml:space="preserve">предусмотренная пунктом 3.1. настоящего Договора, возврату Арендатору не подлежит.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4. Права и обязанности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Арендодатель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4.1.1. На односторонний отказ от исполнения Договора во внесудебном порядке, в случаях, предусмотренных пунктом 6.2.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4.1.2. На досрочное расторжение Договора в судебном порядке, в случаях, предусмотренных пунктом 6.4.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4.1.3. На беспрепятственный доступ на территорию арендуемого земельного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4.1.4. На возмещение убытков, причиненных ухудшением качества Участка и экологической обстановки в результате хозяйственной деятельности Арендаторов,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Арендодатель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4.2.2. Передать Арендатору участок по акту приема – передачи.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4.2.3. Письменно и своевременно уведомить Арендатора в случае изменения номеров счетов для перечисления арендной платы, указанных в пункте 3.2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4.2.4. Письменно сообщить Арендатору не позднее, чем за 14 (четырнадцать) дней о необходимости освобождения Участка при досрочном расторжении Договора или одностороннем отказе от исполнения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4.2.5. Предоставлять расчет арендной платы Арендатору по его требованию.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 Арендатор имеет право: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4.3.1. Использовать Участок на условиях, установленных Договором.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 Арендатор обязан: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4.4.2. Использовать Участок в соответствии с целевым назначением и разрешенным использованием.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4.4.3. Без получения счета и в соответствии с условиями договора уплачивать в размере и на условиях, установленных Договором, арендную плату.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4.4.4.</w:t>
        <w:tab/>
        <w:t xml:space="preserve">Обеспечивать Арендодателю и его представителям, пр</w:t>
      </w:r>
      <w:r>
        <w:rPr>
          <w:rFonts w:ascii="Times New Roman" w:hAnsi="Times New Roman" w:cs="Times New Roman"/>
          <w:sz w:val="20"/>
          <w:szCs w:val="20"/>
        </w:rPr>
        <w:t xml:space="preserve">едставителям органов государственного и муниципального земельного контроля доступ на Участок по их требованию и выполнять все предписания указанных должностных лиц, соответствующим службам доступ для эксплуатации, ремонта и обслуживания линий коммуникаций.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4.4.5. Письменно сообщить Арендод</w:t>
      </w:r>
      <w:r>
        <w:rPr>
          <w:rFonts w:ascii="Times New Roman" w:hAnsi="Times New Roman" w:cs="Times New Roman"/>
          <w:sz w:val="20"/>
          <w:szCs w:val="20"/>
        </w:rPr>
        <w:t xml:space="preserve">ателю не позднее, чем за 1 (один) месяц о предстоящем освобождении Участка в связи с окончанием срока действия Договора. Передача земельного участка по акту приема-передачи осуществляется Арендатором в день, следующий за днем прекращения действия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4.4.6. Не допускать действий, приводящих к ухудшению экологической обстановки на арендуемом земельном участке и прилегающих к нему территориях.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4.4.7. За свой счет выполнять работы по благоустройству территории, поддержанию ее в надлежащем санитарном состоянии в соответствии с законодательством Костромской области и нормативными правовыми актами органов местного самоуправления.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4.4.8. В 10-дневный срок направить Арендодателю письменное уведомление об изменении названия, юридического адреса, электронной почты, расчетного счета или прекращения деятельности п</w:t>
      </w:r>
      <w:r>
        <w:rPr>
          <w:rFonts w:ascii="Times New Roman" w:hAnsi="Times New Roman" w:cs="Times New Roman"/>
          <w:sz w:val="20"/>
          <w:szCs w:val="20"/>
        </w:rPr>
        <w:t xml:space="preserve">редприятия, учреждения или организации в случае, если Арендатор – юридическое лицо; об изменении фамилии, имени, отчества, адреса места жительства, номера телефона, номера факса и электронной почты (если имеется) в случае, если Арендатор – физическое лицо.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4.4.9. Соблюдать санитарные, противопожарные нормы и требования, действующие правила благоустройства территории города Костромы, а так же иные требования, установленные действующим законодательством.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4.4.10. 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Получить разрешение на рубку (обрезку) древесно-кустарниковой растительности и ликвидацию трав</w:t>
      </w:r>
      <w:r>
        <w:rPr>
          <w:rFonts w:ascii="Times New Roman" w:hAnsi="Times New Roman" w:cs="Times New Roman"/>
          <w:iCs/>
          <w:sz w:val="20"/>
          <w:szCs w:val="20"/>
          <w:lang w:eastAsia="ru-RU"/>
        </w:rPr>
        <w:t xml:space="preserve">яного покрова в соответствии с Порядком выдачи разрешений на рубку (обрезку) древесно-кустарниковой растительности и ликвидацию травяного покрова на территории города Костромы, утвержденным постановлением Главы города Костромы от 30 июня 2009 года № 1169</w:t>
      </w:r>
      <w:r>
        <w:rPr>
          <w:rFonts w:ascii="Times New Roman" w:hAnsi="Times New Roman" w:cs="Times New Roman"/>
          <w:sz w:val="20"/>
          <w:szCs w:val="20"/>
          <w:highlight w:val="none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4.4.11. В случае если Участок находится в зоне археологического слоя, соблюдать особые условия использования земельного участка и режим хозяйственной деятельности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4.4.12. Не передавать арендованный земельный участок в субаренду, а также права и обязанности по договору третьим лицам, не осуществлять мероприятий по его разделу, объединению, перераспределению, выделу.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4.4.13. Возвратить Участок в надлежащем состоянии по окончанию действия Договора, при досрочном расторжении Договора, одностороннем отказе от исполнения Договора в день, следующий за днем прекращения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2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4.4.14. Оформить разрешение на строительство и проведение земляных работ при прокладке инженерных сетей в Администрации города Костромы.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4.5. Арендодатель и Арендатор имеют иные права и несут иные обязанности, установленные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Ответственность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5.1. Ответственность за состояние Участка наступает у Арендатора с момента подписания Сторонами акта приема-передачи и прекращается с момента подписания акта о его передаче Арендодателю.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5.2. За нарушение услов</w:t>
      </w:r>
      <w:r>
        <w:rPr>
          <w:rFonts w:ascii="Times New Roman" w:hAnsi="Times New Roman" w:cs="Times New Roman"/>
          <w:sz w:val="20"/>
          <w:szCs w:val="20"/>
        </w:rPr>
        <w:t xml:space="preserve">ий Договора Стороны несут ответственность, предусмотренную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  <w14:ligatures w14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5.3.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нарушение срока внесения арендной платы по Договору Арендатор выплачивает Арендодателю пени из расчета 1/150 ставки рефинансирования Центрального Банка Российской Федерации от размера невнесенной арендной платы за каждый календарный день просрочки.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Пени начисляются со дня образования задолженности по арендной плате и перечисляются на следующие реквизиты: получатель УФК по Костромской области (Управление имущественных и земельных отношений Администрации города Костромы), ИНН 4401006568, КПП 440101001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, единый казначейский счет 40102810945370000034, казначейский счет 03100643000000014100, банк получателя ОТДЕЛЕНИЕ КОСТРОМА БАНКА РОССИИ//УФК ПО КОСТРОМСКОЙ ОБЛАСТИ г. Кострома, БИК 013469126, КБК 96611607090040002140, ОКТМО 34701000.</w:t>
      </w:r>
      <w:r>
        <w:rPr>
          <w:rFonts w:ascii="Times New Roman" w:hAnsi="Times New Roman" w:cs="Times New Roman"/>
          <w:sz w:val="20"/>
          <w:szCs w:val="20"/>
          <w14:ligatures w14:val="none"/>
        </w:rPr>
      </w:r>
      <w:r>
        <w:rPr>
          <w:rFonts w:ascii="Times New Roman" w:hAnsi="Times New Roman" w:cs="Times New Roman"/>
          <w:sz w:val="20"/>
          <w:szCs w:val="20"/>
          <w14:ligatures w14:val="none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5.4. В случае если Арендатор в срок</w:t>
      </w:r>
      <w:r>
        <w:rPr>
          <w:rFonts w:ascii="Times New Roman" w:hAnsi="Times New Roman" w:cs="Times New Roman"/>
          <w:sz w:val="20"/>
          <w:szCs w:val="20"/>
        </w:rPr>
        <w:t xml:space="preserve">, установленный в пункте 4.4.12 Договора, не возвратил Участок, либо возвратил его несвоевременно, уплачивается штраф в размере 1/12 ежегодной арендной платы, при этом действие договора не считается возобновленным на тех же условиях на неопределенный срок.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В случае невыполнения действий, указанных в пунктах 4.4.2, 4.4.6, 4.4.8, 4.4.11, 4.4.13 Договора, Арендатор уплачивает штраф в размере 1/12 ежегодной арендной платы.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5.6.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6.1. Все изменения и (или) дополнения к Договору оформляются Сторонами в письменной форме.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 Арендодатель имеет право на односторонний отказ от исполнения Договора, если такой Договор заключен на срок не более чем пять лет, в случаях: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6.2.1. при использовании земельного участка не в соответствии с его целевым назначением и разрешенным использованием, предусмотренным в пункте 1.1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6.2.2. при существенном ухудшении состояния земельного участка;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6.2.3. невнесения и (или) неполного внесения Арендатором арендной платы по истечении установленного Договором срока платежа;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6.2.4. при изъятии земельного участка для государственных или муниципальных нужд в соответствии с правилами, установленными действующим законодательством Российской Федерации;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6.2.5. при использовании земельного участка с иными существенными нарушениями условий Договора;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6.2.6. в иных случаях, предусмотренных действующим законодательством Российской Федерации.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6.3. В случае одностороннего отказа </w:t>
      </w:r>
      <w:r>
        <w:rPr>
          <w:rFonts w:ascii="Times New Roman" w:hAnsi="Times New Roman" w:cs="Times New Roman"/>
          <w:sz w:val="20"/>
          <w:szCs w:val="20"/>
        </w:rPr>
        <w:t xml:space="preserve">от исполнения Договора, Договор считается расторгнутым по истечении 14 (четырнадцати) дней с момента получения Арендатором уведомления об одностороннем отказе от исполнения Договора. Уведомление направляется Арендодателем заказным письмом с уведомлением и </w:t>
      </w:r>
      <w:r>
        <w:rPr>
          <w:rFonts w:ascii="Times New Roman" w:hAnsi="Times New Roman" w:cs="Times New Roman"/>
          <w:sz w:val="20"/>
          <w:szCs w:val="20"/>
        </w:rPr>
        <w:t xml:space="preserve">считается полученным в день его получения Арендатором либо в день извещения организацией почтовой связи об отсутствии Арендатора по всем адресам, указанным в Договоре. В этом случае заключение дополнительного соглашения о расторжении Договора не требуется.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Односторонний отказ от исполнения Договора возможен способом факсимильной связи, либо путем направления уведомления на электронную почту, если Арендатором в Договоре указаны соответствующие реквизиты.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6.4. Если иное не предусмотрено федеральным законодательством, досрочное расторжение Договора,</w:t>
      </w:r>
      <w:r>
        <w:rPr>
          <w:rFonts w:ascii="Times New Roman" w:hAnsi="Times New Roman" w:cs="Times New Roman"/>
          <w:sz w:val="20"/>
          <w:szCs w:val="20"/>
        </w:rPr>
        <w:t xml:space="preserve"> заключенного на срок более чем пять лет по требованию Арендодателя возможно только на основании решения суда в случаях, предусмотренных пунктами 6.2.1 – 6.2.6 Договора. Условия об одностороннем отказе от исполнения Договора в данном случае не применяются.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6.5. Односторонний отказ от исполнения Договора, предусмотренный пу</w:t>
      </w:r>
      <w:r>
        <w:rPr>
          <w:rFonts w:ascii="Times New Roman" w:hAnsi="Times New Roman" w:cs="Times New Roman"/>
          <w:sz w:val="20"/>
          <w:szCs w:val="20"/>
        </w:rPr>
        <w:t xml:space="preserve">нктом 6.2 Договора, допускается только в том случае, если Арендатор использует Участок в целях осуществления предпринимательской деятельности. В иных случаях допускается только досрочное расторжение Договора в порядке, предусмотренном пунктом 6.4 Договора.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6.6. Договор считается прекращенным по истечении срока, на который он заключен.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6.7. При прекращени</w:t>
      </w:r>
      <w:r>
        <w:rPr>
          <w:rFonts w:ascii="Times New Roman" w:hAnsi="Times New Roman" w:cs="Times New Roman"/>
          <w:sz w:val="20"/>
          <w:szCs w:val="20"/>
        </w:rPr>
        <w:t xml:space="preserve">и Договора, Арендатор обязан вернуть Арендодателю Участок в надлежащем состоянии. В случае если Арендатор уклонился от возвращения Участка, Участок считается возвращенным Арендодателю со дня составления Арендодателем акта об одностороннем возврате Участка.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Рассмотрение и урегулирование споров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7.1. Все споры между Сторонами, возникающие по Договору, разрешаются в соответствии с законодательством Российской Федерации в судах Костромской области по месту нахождения Арендодателя.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8. Особые условия договора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0" w:right="0" w:firstLine="540"/>
        <w:jc w:val="both"/>
        <w:spacing w:before="0" w:beforeAutospacing="0" w:after="0" w:afterAutospacing="0" w:line="240" w:lineRule="auto"/>
        <w:rPr>
          <w:sz w:val="20"/>
          <w:szCs w:val="2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0"/>
          <w:szCs w:val="20"/>
        </w:rPr>
        <w:t xml:space="preserve">8.1. Насто</w:t>
      </w:r>
      <w:r>
        <w:rPr>
          <w:rFonts w:ascii="Times New Roman" w:hAnsi="Times New Roman" w:cs="Times New Roman"/>
          <w:sz w:val="20"/>
          <w:szCs w:val="20"/>
        </w:rPr>
        <w:t xml:space="preserve">ящий Договор </w:t>
      </w: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t xml:space="preserve">заключается в электронной форме и подписывается усиленной квалифицированной электронной подписью сторон такого договора.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9. Реквизиты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Арендодатель: Управление имущественных и земельных отношений Администрации города Костромы, 156005, город Кострома, площадь Конституции, дом 2, ИНН 4401006568, ОГРН: 1034408610411, КПП 440101001, номер телефона: +7 (4942) 42-68-41.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72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Арендатор:  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jc w:val="center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10. Подписи Сторон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751"/>
        <w:ind w:firstLine="851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tbl>
      <w:tblPr>
        <w:tblW w:w="982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5327"/>
        <w:gridCol w:w="4500"/>
      </w:tblGrid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5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имущественных и земельных отношений Администрации города Костромы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5327" w:type="dxa"/>
            <w:textDirection w:val="lrTb"/>
            <w:noWrap w:val="false"/>
          </w:tcPr>
          <w:p>
            <w:pPr>
              <w:pStyle w:val="751"/>
              <w:ind w:firstLine="8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Управления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751"/>
              <w:ind w:firstLine="180"/>
              <w:jc w:val="center"/>
              <w:spacing w:before="0" w:beforeAutospacing="0" w:after="0" w:afterAutospacing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500" w:type="dxa"/>
            <w:textDirection w:val="lrTb"/>
            <w:noWrap w:val="false"/>
          </w:tcPr>
          <w:p>
            <w:pPr>
              <w:pStyle w:val="751"/>
              <w:ind w:firstLine="60"/>
              <w:jc w:val="center"/>
              <w:spacing w:before="0" w:beforeAutospacing="0" w:after="0" w:afterAutospacing="0" w:line="240" w:lineRule="auto"/>
              <w:widowControl w:val="off"/>
              <w:tabs>
                <w:tab w:val="clear" w:pos="708" w:leader="none"/>
                <w:tab w:val="left" w:pos="183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7655" w:firstLine="0"/>
        <w:jc w:val="both"/>
        <w:spacing w:before="0" w:beforeAutospacing="0" w:after="0" w:afterAutospacing="0" w:line="240" w:lineRule="auto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sectPr>
      <w:footnotePr>
        <w:numFmt w:val="decimal"/>
      </w:footnotePr>
      <w:endnotePr/>
      <w:type w:val="nextPage"/>
      <w:pgSz w:w="11906" w:h="16838" w:orient="portrait"/>
      <w:pgMar w:top="425" w:right="707" w:bottom="539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Calibri">
    <w:panose1 w:val="020F0502020204030204"/>
  </w:font>
  <w:font w:name="Mangal">
    <w:panose1 w:val="02040503050203030202"/>
  </w:font>
  <w:font w:name="a_Timer">
    <w:panose1 w:val="02000603000000000000"/>
  </w:font>
  <w:font w:name="Liberation Sans">
    <w:panose1 w:val="020B0604020202020204"/>
  </w:font>
  <w:font w:name="Segoe UI">
    <w:panose1 w:val="020B0502040204020203"/>
  </w:font>
  <w:font w:name="Microsoft YaHei">
    <w:panose1 w:val="020B05030202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rPr>
          <w:sz w:val="12"/>
        </w:rPr>
      </w:pPr>
      <w:r>
        <w:separator/>
      </w:r>
      <w:r>
        <w:rPr>
          <w:sz w:val="12"/>
        </w:rPr>
      </w:r>
      <w:r>
        <w:rPr>
          <w:sz w:val="12"/>
        </w:rPr>
      </w:r>
    </w:p>
  </w:footnote>
  <w:footnote w:type="continuationSeparator" w:id="0">
    <w:p>
      <w:pPr>
        <w:rPr>
          <w:sz w:val="12"/>
        </w:rPr>
      </w:pPr>
      <w:r>
        <w:continuationSeparator/>
      </w:r>
      <w:r>
        <w:rPr>
          <w:sz w:val="12"/>
        </w:rPr>
      </w:r>
      <w:r>
        <w:rPr>
          <w:sz w:val="12"/>
        </w:rPr>
      </w:r>
    </w:p>
  </w:footnote>
  <w:footnote w:id="2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юридическим лицом, или лицом действующим на основании доверенности.</w:t>
      </w:r>
      <w:r/>
    </w:p>
  </w:footnote>
  <w:footnote w:id="3">
    <w:p>
      <w:pPr>
        <w:pStyle w:val="751"/>
        <w:jc w:val="both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Заполняется при подаче Заявки лицом, действующим по доверенности.</w:t>
      </w:r>
      <w:r/>
    </w:p>
  </w:footnote>
  <w:footnote w:id="4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Ознакомлен с Регламентом Оператора электронной площадки при регистрации (аккредитации) на электронной площадке</w:t>
      </w:r>
      <w:r>
        <w:rPr>
          <w:sz w:val="18"/>
          <w:szCs w:val="18"/>
        </w:rPr>
      </w:r>
      <w:r/>
    </w:p>
  </w:footnote>
  <w:footnote w:id="5">
    <w:p>
      <w:pPr>
        <w:pStyle w:val="822"/>
        <w:contextualSpacing/>
        <w:jc w:val="both"/>
        <w:spacing w:before="0" w:after="0" w:line="216" w:lineRule="auto"/>
      </w:pPr>
      <w:r>
        <w:rPr>
          <w:rStyle w:val="787"/>
        </w:rPr>
        <w:footnoteRef/>
      </w:r>
      <w:r>
        <w:t xml:space="preserve"> </w:t>
      </w:r>
      <w:r>
        <w:rPr>
          <w:sz w:val="18"/>
          <w:szCs w:val="18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</w:t>
      </w:r>
      <w:r>
        <w:rPr>
          <w:sz w:val="18"/>
          <w:szCs w:val="18"/>
        </w:rPr>
        <w:t xml:space="preserve">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 209-ФЗ «О развитии малого и среднего предпринимательства в Российской Федерации».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6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space"/>
      <w:lvlText w:val="%1.%2."/>
      <w:lvlJc w:val="left"/>
      <w:pPr>
        <w:ind w:left="357" w:firstLine="3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357" w:firstLine="363"/>
        <w:tabs>
          <w:tab w:val="num" w:pos="357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  <w:tabs>
          <w:tab w:val="num" w:pos="216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324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9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432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5040" w:leader="none"/>
        </w:tabs>
      </w:p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246" w:hanging="1395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246" w:hanging="1395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246" w:hanging="1395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46" w:hanging="1395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246" w:hanging="1395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291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291" w:hanging="144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651" w:hanging="1800"/>
        <w:tabs>
          <w:tab w:val="num" w:pos="0" w:leader="none"/>
        </w:tabs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  <w:tabs>
          <w:tab w:val="num" w:pos="0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0" w:leader="none"/>
        </w:tabs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90" w:hanging="39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60" w:hanging="720"/>
        <w:tabs>
          <w:tab w:val="num" w:pos="0" w:leader="none"/>
        </w:tabs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3600" w:hanging="72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5400" w:hanging="1080"/>
        <w:tabs>
          <w:tab w:val="num" w:pos="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6840" w:hanging="1080"/>
        <w:tabs>
          <w:tab w:val="num" w:pos="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8640" w:hanging="144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080" w:hanging="1440"/>
        <w:tabs>
          <w:tab w:val="num" w:pos="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1880" w:hanging="1800"/>
        <w:tabs>
          <w:tab w:val="num" w:pos="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3320" w:hanging="180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761"/>
    <w:link w:val="752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761"/>
    <w:link w:val="753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761"/>
    <w:link w:val="754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761"/>
    <w:link w:val="755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761"/>
    <w:link w:val="756"/>
    <w:uiPriority w:val="9"/>
    <w:rPr>
      <w:rFonts w:ascii="Arial" w:hAnsi="Arial" w:eastAsia="Arial" w:cs="Arial"/>
      <w:b/>
      <w:bCs/>
      <w:sz w:val="24"/>
      <w:szCs w:val="24"/>
    </w:rPr>
  </w:style>
  <w:style w:type="character" w:styleId="741">
    <w:name w:val="Heading 6 Char"/>
    <w:basedOn w:val="761"/>
    <w:link w:val="757"/>
    <w:uiPriority w:val="9"/>
    <w:rPr>
      <w:rFonts w:ascii="Arial" w:hAnsi="Arial" w:eastAsia="Arial" w:cs="Arial"/>
      <w:b/>
      <w:bCs/>
      <w:sz w:val="22"/>
      <w:szCs w:val="22"/>
    </w:rPr>
  </w:style>
  <w:style w:type="character" w:styleId="742">
    <w:name w:val="Heading 7 Char"/>
    <w:basedOn w:val="761"/>
    <w:link w:val="7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8 Char"/>
    <w:basedOn w:val="761"/>
    <w:link w:val="759"/>
    <w:uiPriority w:val="9"/>
    <w:rPr>
      <w:rFonts w:ascii="Arial" w:hAnsi="Arial" w:eastAsia="Arial" w:cs="Arial"/>
      <w:i/>
      <w:iCs/>
      <w:sz w:val="22"/>
      <w:szCs w:val="22"/>
    </w:rPr>
  </w:style>
  <w:style w:type="character" w:styleId="744">
    <w:name w:val="Heading 9 Char"/>
    <w:basedOn w:val="761"/>
    <w:link w:val="760"/>
    <w:uiPriority w:val="9"/>
    <w:rPr>
      <w:rFonts w:ascii="Arial" w:hAnsi="Arial" w:eastAsia="Arial" w:cs="Arial"/>
      <w:i/>
      <w:iCs/>
      <w:sz w:val="21"/>
      <w:szCs w:val="21"/>
    </w:rPr>
  </w:style>
  <w:style w:type="character" w:styleId="745">
    <w:name w:val="Title Char"/>
    <w:basedOn w:val="761"/>
    <w:link w:val="796"/>
    <w:uiPriority w:val="10"/>
    <w:rPr>
      <w:sz w:val="48"/>
      <w:szCs w:val="48"/>
    </w:rPr>
  </w:style>
  <w:style w:type="character" w:styleId="746">
    <w:name w:val="Subtitle Char"/>
    <w:basedOn w:val="761"/>
    <w:link w:val="797"/>
    <w:uiPriority w:val="11"/>
    <w:rPr>
      <w:sz w:val="24"/>
      <w:szCs w:val="24"/>
    </w:rPr>
  </w:style>
  <w:style w:type="character" w:styleId="747">
    <w:name w:val="Quote Char"/>
    <w:link w:val="798"/>
    <w:uiPriority w:val="29"/>
    <w:rPr>
      <w:i/>
    </w:rPr>
  </w:style>
  <w:style w:type="character" w:styleId="748">
    <w:name w:val="Intense Quote Char"/>
    <w:link w:val="799"/>
    <w:uiPriority w:val="30"/>
    <w:rPr>
      <w:i/>
    </w:rPr>
  </w:style>
  <w:style w:type="character" w:styleId="749">
    <w:name w:val="Endnote Text Char"/>
    <w:link w:val="801"/>
    <w:uiPriority w:val="99"/>
    <w:rPr>
      <w:sz w:val="20"/>
    </w:rPr>
  </w:style>
  <w:style w:type="paragraph" w:styleId="750">
    <w:name w:val="toc 2"/>
    <w:basedOn w:val="751"/>
    <w:next w:val="751"/>
    <w:uiPriority w:val="39"/>
    <w:unhideWhenUsed/>
    <w:pPr>
      <w:ind w:left="283" w:right="0" w:firstLine="0"/>
      <w:spacing w:after="57"/>
    </w:pPr>
  </w:style>
  <w:style w:type="paragraph" w:styleId="751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52">
    <w:name w:val="Heading 1"/>
    <w:basedOn w:val="751"/>
    <w:next w:val="751"/>
    <w:link w:val="82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3">
    <w:name w:val="Heading 2"/>
    <w:basedOn w:val="751"/>
    <w:next w:val="751"/>
    <w:link w:val="7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4">
    <w:name w:val="Heading 3"/>
    <w:basedOn w:val="751"/>
    <w:next w:val="751"/>
    <w:link w:val="8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5">
    <w:name w:val="Heading 4"/>
    <w:basedOn w:val="751"/>
    <w:next w:val="751"/>
    <w:link w:val="83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6">
    <w:name w:val="Heading 5"/>
    <w:basedOn w:val="751"/>
    <w:next w:val="751"/>
    <w:link w:val="8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57">
    <w:name w:val="Heading 6"/>
    <w:basedOn w:val="751"/>
    <w:next w:val="751"/>
    <w:link w:val="7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8">
    <w:name w:val="Heading 7"/>
    <w:basedOn w:val="751"/>
    <w:next w:val="751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9">
    <w:name w:val="Heading 8"/>
    <w:basedOn w:val="751"/>
    <w:next w:val="751"/>
    <w:link w:val="76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60">
    <w:name w:val="Heading 9"/>
    <w:basedOn w:val="751"/>
    <w:next w:val="751"/>
    <w:link w:val="76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1" w:default="1">
    <w:name w:val="Default Paragraph Font"/>
    <w:uiPriority w:val="1"/>
    <w:semiHidden/>
    <w:unhideWhenUsed/>
    <w:qFormat/>
  </w:style>
  <w:style w:type="character" w:styleId="762" w:customStyle="1">
    <w:name w:val="Заголовок 2 Знак"/>
    <w:basedOn w:val="761"/>
    <w:uiPriority w:val="9"/>
    <w:qFormat/>
    <w:rPr>
      <w:rFonts w:ascii="Arial" w:hAnsi="Arial" w:eastAsia="Arial" w:cs="Arial"/>
      <w:sz w:val="34"/>
    </w:rPr>
  </w:style>
  <w:style w:type="character" w:styleId="763" w:customStyle="1">
    <w:name w:val="Заголовок 6 Знак"/>
    <w:basedOn w:val="76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Заголовок 7 Знак"/>
    <w:basedOn w:val="76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5" w:customStyle="1">
    <w:name w:val="Заголовок 8 Знак"/>
    <w:basedOn w:val="76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6" w:customStyle="1">
    <w:name w:val="Заголовок 9 Знак"/>
    <w:basedOn w:val="761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7" w:customStyle="1">
    <w:name w:val="Заголовок Знак"/>
    <w:basedOn w:val="761"/>
    <w:uiPriority w:val="10"/>
    <w:qFormat/>
    <w:rPr>
      <w:sz w:val="48"/>
      <w:szCs w:val="48"/>
    </w:rPr>
  </w:style>
  <w:style w:type="character" w:styleId="768" w:customStyle="1">
    <w:name w:val="Подзаголовок Знак"/>
    <w:basedOn w:val="761"/>
    <w:uiPriority w:val="11"/>
    <w:qFormat/>
    <w:rPr>
      <w:sz w:val="24"/>
      <w:szCs w:val="24"/>
    </w:rPr>
  </w:style>
  <w:style w:type="character" w:styleId="769" w:customStyle="1">
    <w:name w:val="Цитата 2 Знак"/>
    <w:link w:val="798"/>
    <w:uiPriority w:val="29"/>
    <w:qFormat/>
    <w:rPr>
      <w:i/>
    </w:rPr>
  </w:style>
  <w:style w:type="character" w:styleId="770" w:customStyle="1">
    <w:name w:val="Выделенная цитата Знак"/>
    <w:link w:val="799"/>
    <w:uiPriority w:val="30"/>
    <w:qFormat/>
    <w:rPr>
      <w:i/>
    </w:rPr>
  </w:style>
  <w:style w:type="character" w:styleId="771" w:customStyle="1">
    <w:name w:val="Header Char"/>
    <w:basedOn w:val="761"/>
    <w:uiPriority w:val="99"/>
    <w:qFormat/>
  </w:style>
  <w:style w:type="character" w:styleId="772" w:customStyle="1">
    <w:name w:val="Footer Char"/>
    <w:basedOn w:val="761"/>
    <w:uiPriority w:val="99"/>
    <w:qFormat/>
  </w:style>
  <w:style w:type="character" w:styleId="773" w:customStyle="1">
    <w:name w:val="Caption Char"/>
    <w:uiPriority w:val="99"/>
    <w:qFormat/>
  </w:style>
  <w:style w:type="character" w:styleId="774" w:customStyle="1">
    <w:name w:val="Footnote Text Char"/>
    <w:uiPriority w:val="99"/>
    <w:qFormat/>
    <w:rPr>
      <w:sz w:val="18"/>
    </w:rPr>
  </w:style>
  <w:style w:type="character" w:styleId="775" w:customStyle="1">
    <w:name w:val="Текст концевой сноски Знак"/>
    <w:uiPriority w:val="99"/>
    <w:qFormat/>
    <w:rPr>
      <w:sz w:val="20"/>
    </w:rPr>
  </w:style>
  <w:style w:type="character" w:styleId="776">
    <w:name w:val="Символ концевой сноски"/>
    <w:basedOn w:val="761"/>
    <w:uiPriority w:val="99"/>
    <w:semiHidden/>
    <w:unhideWhenUsed/>
    <w:qFormat/>
    <w:rPr>
      <w:vertAlign w:val="superscript"/>
    </w:rPr>
  </w:style>
  <w:style w:type="character" w:styleId="777">
    <w:name w:val="endnote reference"/>
    <w:rPr>
      <w:vertAlign w:val="superscript"/>
    </w:rPr>
  </w:style>
  <w:style w:type="character" w:styleId="778">
    <w:name w:val="FollowedHyperlink"/>
    <w:basedOn w:val="761"/>
    <w:uiPriority w:val="99"/>
    <w:unhideWhenUsed/>
    <w:qFormat/>
    <w:rPr>
      <w:color w:val="800080"/>
      <w:u w:val="single"/>
    </w:rPr>
  </w:style>
  <w:style w:type="character" w:styleId="779">
    <w:name w:val="Hyperlink"/>
    <w:basedOn w:val="761"/>
    <w:uiPriority w:val="99"/>
    <w:unhideWhenUsed/>
    <w:qFormat/>
    <w:rPr>
      <w:color w:val="0000ff"/>
      <w:u w:val="single"/>
    </w:rPr>
  </w:style>
  <w:style w:type="character" w:styleId="780">
    <w:name w:val="Strong"/>
    <w:basedOn w:val="761"/>
    <w:qFormat/>
    <w:rPr>
      <w:rFonts w:cs="Times New Roman"/>
      <w:b/>
      <w:bCs/>
    </w:rPr>
  </w:style>
  <w:style w:type="character" w:styleId="781" w:customStyle="1">
    <w:name w:val="Верх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2" w:customStyle="1">
    <w:name w:val="Нижний колонтитул Знак"/>
    <w:basedOn w:val="761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783" w:customStyle="1">
    <w:name w:val="10"/>
    <w:basedOn w:val="761"/>
    <w:qFormat/>
    <w:rPr>
      <w:rFonts w:ascii="Times New Roman" w:hAnsi="Times New Roman" w:cs="Times New Roman"/>
    </w:rPr>
  </w:style>
  <w:style w:type="character" w:styleId="784" w:customStyle="1">
    <w:name w:val="15"/>
    <w:basedOn w:val="761"/>
    <w:qFormat/>
    <w:rPr>
      <w:rFonts w:ascii="Times New Roman" w:hAnsi="Times New Roman" w:cs="Times New Roman"/>
      <w:color w:val="0000ff"/>
      <w:u w:val="single"/>
    </w:rPr>
  </w:style>
  <w:style w:type="character" w:styleId="785" w:customStyle="1">
    <w:name w:val="16"/>
    <w:basedOn w:val="761"/>
    <w:qFormat/>
    <w:rPr>
      <w:rFonts w:ascii="Times New Roman" w:hAnsi="Times New Roman" w:cs="Times New Roman"/>
    </w:rPr>
  </w:style>
  <w:style w:type="character" w:styleId="786" w:customStyle="1">
    <w:name w:val="rts-text"/>
    <w:basedOn w:val="761"/>
    <w:qFormat/>
  </w:style>
  <w:style w:type="character" w:styleId="787">
    <w:name w:val="Символ сноски"/>
    <w:qFormat/>
    <w:rPr>
      <w:vertAlign w:val="superscript"/>
    </w:rPr>
  </w:style>
  <w:style w:type="character" w:styleId="788">
    <w:name w:val="footnote reference"/>
    <w:rPr>
      <w:vertAlign w:val="superscript"/>
    </w:rPr>
  </w:style>
  <w:style w:type="character" w:styleId="789" w:customStyle="1">
    <w:name w:val="Текст сноски Знак"/>
    <w:basedOn w:val="761"/>
    <w:qFormat/>
    <w:rPr>
      <w:rFonts w:ascii="Times New Roman" w:hAnsi="Times New Roman" w:eastAsia="Times New Roman" w:cs="Times New Roman"/>
      <w:lang w:eastAsia="zh-CN"/>
    </w:rPr>
  </w:style>
  <w:style w:type="character" w:styleId="790" w:customStyle="1">
    <w:name w:val="Текст выноски Знак"/>
    <w:basedOn w:val="761"/>
    <w:link w:val="823"/>
    <w:uiPriority w:val="99"/>
    <w:semiHidden/>
    <w:qFormat/>
    <w:rPr>
      <w:rFonts w:ascii="Segoe UI" w:hAnsi="Segoe UI" w:eastAsia="Times New Roman" w:cs="Segoe UI"/>
      <w:sz w:val="18"/>
      <w:szCs w:val="18"/>
    </w:rPr>
  </w:style>
  <w:style w:type="paragraph" w:styleId="791">
    <w:name w:val="Заголовок"/>
    <w:basedOn w:val="751"/>
    <w:next w:val="792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792">
    <w:name w:val="Body Text"/>
    <w:basedOn w:val="751"/>
    <w:pPr>
      <w:spacing w:before="0" w:after="140" w:line="276" w:lineRule="auto"/>
    </w:pPr>
  </w:style>
  <w:style w:type="paragraph" w:styleId="793">
    <w:name w:val="List"/>
    <w:basedOn w:val="792"/>
    <w:rPr>
      <w:rFonts w:cs="Mangal"/>
    </w:rPr>
  </w:style>
  <w:style w:type="paragraph" w:styleId="794">
    <w:name w:val="Caption"/>
    <w:basedOn w:val="751"/>
    <w:qFormat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95">
    <w:name w:val="Указатель"/>
    <w:basedOn w:val="751"/>
    <w:qFormat/>
    <w:pPr>
      <w:suppressLineNumbers/>
    </w:pPr>
    <w:rPr>
      <w:rFonts w:cs="Mangal"/>
    </w:rPr>
  </w:style>
  <w:style w:type="paragraph" w:styleId="796">
    <w:name w:val="Title"/>
    <w:basedOn w:val="751"/>
    <w:next w:val="751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7">
    <w:name w:val="Subtitle"/>
    <w:basedOn w:val="751"/>
    <w:next w:val="751"/>
    <w:link w:val="768"/>
    <w:uiPriority w:val="11"/>
    <w:qFormat/>
    <w:pPr>
      <w:spacing w:before="200" w:after="200"/>
    </w:pPr>
  </w:style>
  <w:style w:type="paragraph" w:styleId="798">
    <w:name w:val="Quote"/>
    <w:basedOn w:val="751"/>
    <w:next w:val="751"/>
    <w:link w:val="769"/>
    <w:uiPriority w:val="29"/>
    <w:qFormat/>
    <w:pPr>
      <w:ind w:left="720" w:right="720" w:firstLine="0"/>
    </w:pPr>
    <w:rPr>
      <w:i/>
    </w:rPr>
  </w:style>
  <w:style w:type="paragraph" w:styleId="799">
    <w:name w:val="Intense Quote"/>
    <w:basedOn w:val="751"/>
    <w:next w:val="751"/>
    <w:link w:val="770"/>
    <w:uiPriority w:val="30"/>
    <w:qFormat/>
    <w:pPr>
      <w:ind w:left="720" w:right="720" w:firstLine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0">
    <w:name w:val="Caption"/>
    <w:basedOn w:val="751"/>
    <w:next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01">
    <w:name w:val="endnote text"/>
    <w:basedOn w:val="751"/>
    <w:link w:val="775"/>
    <w:uiPriority w:val="99"/>
    <w:semiHidden/>
    <w:unhideWhenUsed/>
    <w:rPr>
      <w:sz w:val="20"/>
    </w:rPr>
  </w:style>
  <w:style w:type="paragraph" w:styleId="802">
    <w:name w:val="toc 1"/>
    <w:basedOn w:val="751"/>
    <w:next w:val="751"/>
    <w:uiPriority w:val="39"/>
    <w:unhideWhenUsed/>
    <w:pPr>
      <w:spacing w:before="0" w:after="57"/>
    </w:pPr>
  </w:style>
  <w:style w:type="paragraph" w:styleId="803">
    <w:name w:val="toc 3"/>
    <w:basedOn w:val="751"/>
    <w:next w:val="751"/>
    <w:uiPriority w:val="39"/>
    <w:unhideWhenUsed/>
    <w:pPr>
      <w:ind w:left="567" w:firstLine="0"/>
      <w:spacing w:before="0" w:after="57"/>
    </w:pPr>
  </w:style>
  <w:style w:type="paragraph" w:styleId="804">
    <w:name w:val="toc 4"/>
    <w:basedOn w:val="751"/>
    <w:next w:val="751"/>
    <w:uiPriority w:val="39"/>
    <w:unhideWhenUsed/>
    <w:pPr>
      <w:ind w:left="850" w:firstLine="0"/>
      <w:spacing w:before="0" w:after="57"/>
    </w:pPr>
  </w:style>
  <w:style w:type="paragraph" w:styleId="805">
    <w:name w:val="toc 5"/>
    <w:basedOn w:val="751"/>
    <w:next w:val="751"/>
    <w:uiPriority w:val="39"/>
    <w:unhideWhenUsed/>
    <w:pPr>
      <w:ind w:left="1134" w:firstLine="0"/>
      <w:spacing w:before="0" w:after="57"/>
    </w:pPr>
  </w:style>
  <w:style w:type="paragraph" w:styleId="806">
    <w:name w:val="toc 6"/>
    <w:basedOn w:val="751"/>
    <w:next w:val="751"/>
    <w:uiPriority w:val="39"/>
    <w:unhideWhenUsed/>
    <w:pPr>
      <w:ind w:left="1417" w:firstLine="0"/>
      <w:spacing w:before="0" w:after="57"/>
    </w:pPr>
  </w:style>
  <w:style w:type="paragraph" w:styleId="807">
    <w:name w:val="toc 7"/>
    <w:basedOn w:val="751"/>
    <w:next w:val="751"/>
    <w:uiPriority w:val="39"/>
    <w:unhideWhenUsed/>
    <w:pPr>
      <w:ind w:left="1701" w:firstLine="0"/>
      <w:spacing w:before="0" w:after="57"/>
    </w:pPr>
  </w:style>
  <w:style w:type="paragraph" w:styleId="808">
    <w:name w:val="toc 8"/>
    <w:basedOn w:val="751"/>
    <w:next w:val="751"/>
    <w:uiPriority w:val="39"/>
    <w:unhideWhenUsed/>
    <w:pPr>
      <w:ind w:left="1984" w:firstLine="0"/>
      <w:spacing w:before="0" w:after="57"/>
    </w:pPr>
  </w:style>
  <w:style w:type="paragraph" w:styleId="809">
    <w:name w:val="toc 9"/>
    <w:basedOn w:val="751"/>
    <w:next w:val="751"/>
    <w:uiPriority w:val="39"/>
    <w:unhideWhenUsed/>
    <w:pPr>
      <w:ind w:left="2268" w:firstLine="0"/>
      <w:spacing w:before="0" w:after="57"/>
    </w:pPr>
  </w:style>
  <w:style w:type="paragraph" w:styleId="810">
    <w:name w:val="Index Heading"/>
    <w:basedOn w:val="791"/>
  </w:style>
  <w:style w:type="paragraph" w:styleId="81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0"/>
      <w:szCs w:val="20"/>
      <w:lang w:val="ru-RU" w:eastAsia="ru-RU" w:bidi="ar-SA"/>
    </w:rPr>
  </w:style>
  <w:style w:type="paragraph" w:styleId="812">
    <w:name w:val="table of figures"/>
    <w:basedOn w:val="751"/>
    <w:next w:val="751"/>
    <w:uiPriority w:val="99"/>
    <w:unhideWhenUsed/>
    <w:qFormat/>
  </w:style>
  <w:style w:type="paragraph" w:styleId="813">
    <w:name w:val="Body Text Indent 3"/>
    <w:basedOn w:val="751"/>
    <w:uiPriority w:val="99"/>
    <w:unhideWhenUsed/>
    <w:qFormat/>
    <w:pPr>
      <w:ind w:left="283" w:firstLine="0"/>
      <w:spacing w:before="0" w:after="120"/>
    </w:pPr>
    <w:rPr>
      <w:sz w:val="16"/>
      <w:szCs w:val="16"/>
    </w:rPr>
  </w:style>
  <w:style w:type="paragraph" w:styleId="814">
    <w:name w:val="Колонтитул"/>
    <w:basedOn w:val="751"/>
    <w:qFormat/>
  </w:style>
  <w:style w:type="paragraph" w:styleId="815">
    <w:name w:val="Header"/>
    <w:basedOn w:val="751"/>
    <w:link w:val="781"/>
    <w:uiPriority w:val="99"/>
    <w:unhideWhenUsed/>
    <w:qFormat/>
  </w:style>
  <w:style w:type="paragraph" w:styleId="816">
    <w:name w:val="Footer"/>
    <w:basedOn w:val="751"/>
    <w:link w:val="782"/>
    <w:uiPriority w:val="99"/>
    <w:unhideWhenUsed/>
    <w:qFormat/>
  </w:style>
  <w:style w:type="paragraph" w:styleId="817">
    <w:name w:val="Normal (Web)"/>
    <w:basedOn w:val="751"/>
    <w:qFormat/>
    <w:pPr>
      <w:jc w:val="both"/>
      <w:spacing w:beforeAutospacing="1" w:afterAutospacing="1" w:line="360" w:lineRule="auto"/>
    </w:pPr>
    <w:rPr>
      <w:rFonts w:ascii="Verdana" w:hAnsi="Verdana"/>
      <w:color w:val="000000"/>
      <w:sz w:val="18"/>
      <w:szCs w:val="18"/>
    </w:rPr>
  </w:style>
  <w:style w:type="paragraph" w:styleId="818">
    <w:name w:val="No Spacing"/>
    <w:uiPriority w:val="1"/>
    <w:qFormat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val="ru-RU" w:eastAsia="en-US" w:bidi="ar-SA"/>
    </w:rPr>
  </w:style>
  <w:style w:type="paragraph" w:styleId="819" w:customStyle="1">
    <w:name w:val="rezul"/>
    <w:basedOn w:val="751"/>
    <w:qFormat/>
    <w:pPr>
      <w:ind w:firstLine="283"/>
      <w:jc w:val="both"/>
      <w:widowControl w:val="off"/>
    </w:pPr>
    <w:rPr>
      <w:b/>
      <w:szCs w:val="20"/>
      <w:lang w:val="en-US"/>
    </w:rPr>
  </w:style>
  <w:style w:type="paragraph" w:styleId="820" w:customStyle="1">
    <w:name w:val="Заголов1"/>
    <w:basedOn w:val="751"/>
    <w:uiPriority w:val="99"/>
    <w:qFormat/>
    <w:pPr>
      <w:jc w:val="center"/>
      <w:widowControl w:val="off"/>
    </w:pPr>
    <w:rPr>
      <w:rFonts w:ascii="a_Timer" w:hAnsi="a_Timer" w:cs="a_Timer"/>
      <w:lang w:val="en-US"/>
    </w:rPr>
  </w:style>
  <w:style w:type="paragraph" w:styleId="821">
    <w:name w:val="List Paragraph"/>
    <w:basedOn w:val="751"/>
    <w:uiPriority w:val="99"/>
    <w:qFormat/>
    <w:pPr>
      <w:contextualSpacing/>
      <w:ind w:left="720" w:firstLine="0"/>
      <w:spacing w:before="0" w:after="0"/>
    </w:pPr>
  </w:style>
  <w:style w:type="paragraph" w:styleId="822">
    <w:name w:val="footnote text"/>
    <w:basedOn w:val="751"/>
    <w:link w:val="789"/>
    <w:rPr>
      <w:sz w:val="20"/>
      <w:szCs w:val="20"/>
      <w:lang w:eastAsia="zh-CN"/>
    </w:rPr>
  </w:style>
  <w:style w:type="paragraph" w:styleId="823">
    <w:name w:val="Balloon Text"/>
    <w:basedOn w:val="751"/>
    <w:link w:val="790"/>
    <w:uiPriority w:val="99"/>
    <w:semiHidden/>
    <w:unhideWhenUsed/>
    <w:qFormat/>
    <w:rPr>
      <w:rFonts w:ascii="Segoe UI" w:hAnsi="Segoe UI" w:cs="Segoe UI"/>
      <w:sz w:val="18"/>
      <w:szCs w:val="18"/>
    </w:rPr>
  </w:style>
  <w:style w:type="numbering" w:styleId="824" w:default="1">
    <w:name w:val="No List"/>
    <w:uiPriority w:val="99"/>
    <w:semiHidden/>
    <w:unhideWhenUsed/>
    <w:qFormat/>
  </w:style>
  <w:style w:type="table" w:styleId="8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26" w:customStyle="1">
    <w:name w:val="Table Grid Light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27">
    <w:name w:val="Plain Table 1"/>
    <w:basedOn w:val="82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8">
    <w:name w:val="Plain Table 2"/>
    <w:basedOn w:val="82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29">
    <w:name w:val="Plain Table 3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0">
    <w:name w:val="Plain Table 4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Plain Table 5"/>
    <w:basedOn w:val="825"/>
    <w:uiPriority w:val="99"/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1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2">
    <w:name w:val="Grid Table 1 Light"/>
    <w:basedOn w:val="82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1 Light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Grid Table 2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2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"/>
    <w:basedOn w:val="82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1"/>
    <w:basedOn w:val="82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dae5f1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dae5f1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5"/>
    <w:basedOn w:val="82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6"/>
    <w:basedOn w:val="82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4"/>
    <w:basedOn w:val="82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cbcbcb" w:fill="cbcbcb" w:themeFill="text1" w:themeFillTint="34"/>
      </w:tcPr>
    </w:tblStylePr>
    <w:tblStylePr w:type="band1Vert">
      <w:rPr>
        <w:color w:val="404040"/>
        <w:sz w:val="22"/>
      </w:rPr>
      <w:tcPr>
        <w:shd w:val="clear" w:color="cbcbcb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4" w:customStyle="1">
    <w:name w:val="Grid Table 4 - Accent 1"/>
    <w:basedOn w:val="82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ce6f2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dce6f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sz="4" w:space="0"/>
        </w:tcBorders>
      </w:tcPr>
    </w:tblStylePr>
  </w:style>
  <w:style w:type="table" w:styleId="855" w:customStyle="1">
    <w:name w:val="Grid Table 4 - Accent 2"/>
    <w:basedOn w:val="82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sz="4" w:space="0"/>
        </w:tcBorders>
      </w:tcPr>
    </w:tblStylePr>
  </w:style>
  <w:style w:type="table" w:styleId="856" w:customStyle="1">
    <w:name w:val="Grid Table 4 - Accent 3"/>
    <w:basedOn w:val="82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sz="4" w:space="0"/>
        </w:tcBorders>
      </w:tcPr>
    </w:tblStylePr>
  </w:style>
  <w:style w:type="table" w:styleId="857" w:customStyle="1">
    <w:name w:val="Grid Table 4 - Accent 4"/>
    <w:basedOn w:val="82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sz="4" w:space="0"/>
        </w:tcBorders>
      </w:tcPr>
    </w:tblStylePr>
  </w:style>
  <w:style w:type="table" w:styleId="858" w:customStyle="1">
    <w:name w:val="Grid Table 4 - Accent 5"/>
    <w:basedOn w:val="82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9" w:customStyle="1">
    <w:name w:val="Grid Table 4 - Accent 6"/>
    <w:basedOn w:val="82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0">
    <w:name w:val="Grid Table 5 Dark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000000" w:fill="000000" w:themeFill="text1"/>
      </w:tc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1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4f81bd" w:fill="4f81bd" w:themeFill="accent1"/>
      </w:tc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2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c0504d" w:fill="c0504d" w:themeFill="accent2"/>
      </w:tc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3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9bbb59" w:fill="9bbb59" w:themeFill="accent3"/>
      </w:tc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5 Dark- Accent 4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8064a2" w:fill="8064a2" w:themeFill="accent4"/>
      </w:tc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 - Accent 5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4bacc6" w:fill="4bacc6" w:themeFill="accent5"/>
      </w:tc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6"/>
    <w:basedOn w:val="82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79646" w:fill="f79646" w:themeFill="accent6"/>
      </w:tc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67">
    <w:name w:val="Grid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8" w:customStyle="1">
    <w:name w:val="Grid Table 6 Colorful - Accent 1"/>
    <w:basedOn w:val="82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9" w:customStyle="1">
    <w:name w:val="Grid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0" w:customStyle="1">
    <w:name w:val="Grid Table 6 Colorful - Accent 3"/>
    <w:basedOn w:val="82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1" w:customStyle="1">
    <w:name w:val="Grid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2" w:customStyle="1">
    <w:name w:val="Grid Table 6 Colorful - Accent 5"/>
    <w:basedOn w:val="82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3" w:customStyle="1">
    <w:name w:val="Grid Table 6 Colorful - Accent 6"/>
    <w:basedOn w:val="82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4">
    <w:name w:val="Grid Table 7 Colorful"/>
    <w:basedOn w:val="82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1"/>
    <w:basedOn w:val="82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a6bfdd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sz="4" w:space="0"/>
          <w:right w:val="none" w:color="000000" w:sz="0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2"/>
    <w:basedOn w:val="82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3"/>
    <w:basedOn w:val="82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9abb59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sz="4" w:space="0"/>
          <w:right w:val="none" w:color="000000" w:sz="0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Grid Table 7 Colorful - Accent 4"/>
    <w:basedOn w:val="82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5"/>
    <w:basedOn w:val="82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9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sz="4" w:space="0"/>
          <w:right w:val="none" w:color="000000" w:sz="0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6"/>
    <w:basedOn w:val="82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154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sz="4" w:space="0"/>
          <w:right w:val="none" w:color="000000" w:sz="0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>
    <w:name w:val="List Table 1 Light"/>
    <w:basedOn w:val="825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1"/>
    <w:basedOn w:val="825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2"/>
    <w:basedOn w:val="825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3"/>
    <w:basedOn w:val="825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1 Light - Accent 4"/>
    <w:basedOn w:val="825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5"/>
    <w:basedOn w:val="825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6"/>
    <w:basedOn w:val="825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List Table 2"/>
    <w:basedOn w:val="82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89" w:customStyle="1">
    <w:name w:val="List Table 2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90" w:customStyle="1">
    <w:name w:val="List Table 2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91" w:customStyle="1">
    <w:name w:val="List Table 2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92" w:customStyle="1">
    <w:name w:val="List Table 2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93" w:customStyle="1">
    <w:name w:val="List Table 2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94" w:customStyle="1">
    <w:name w:val="List Table 2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95">
    <w:name w:val="List Table 3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d99695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3d69b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3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b2a1c6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2ccdc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ac090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>
    <w:name w:val="List Table 4"/>
    <w:basedOn w:val="82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bfbfbf" w:fill="bfbfbf" w:themeFill="text1" w:themeFillTint="40"/>
      </w:tcPr>
    </w:tblStylePr>
    <w:tblStylePr w:type="band1Vert">
      <w:rPr>
        <w:color w:val="404040"/>
        <w:sz w:val="22"/>
      </w:rPr>
      <w:tcPr>
        <w:shd w:val="clear" w:color="bfbfb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000000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1"/>
    <w:basedOn w:val="82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d2dfee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d2dfee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f81bd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2"/>
    <w:basedOn w:val="82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efd2d2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efd2d2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c0504d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3"/>
    <w:basedOn w:val="82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e5eed5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e5eed5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9bbb59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 - Accent 4"/>
    <w:basedOn w:val="82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dfd8e7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dfd8e7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8064a2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5"/>
    <w:basedOn w:val="82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d1eaf0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d1eaf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4bacc6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6"/>
    <w:basedOn w:val="82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de4d0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de4d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7964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5 Dark"/>
    <w:basedOn w:val="82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0" w:customStyle="1">
    <w:name w:val="List Table 5 Dark - Accent 1"/>
    <w:basedOn w:val="82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1" w:customStyle="1">
    <w:name w:val="List Table 5 Dark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2" w:customStyle="1">
    <w:name w:val="List Table 5 Dark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3" w:customStyle="1">
    <w:name w:val="List Table 5 Dark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4" w:customStyle="1">
    <w:name w:val="List Table 5 Dark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5" w:customStyle="1">
    <w:name w:val="List Table 5 Dark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916">
    <w:name w:val="List Table 6 Colorful"/>
    <w:basedOn w:val="82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917" w:customStyle="1">
    <w:name w:val="List Table 6 Colorful - Accent 1"/>
    <w:basedOn w:val="82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8" w:customStyle="1">
    <w:name w:val="List Table 6 Colorful - Accent 2"/>
    <w:basedOn w:val="82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919" w:customStyle="1">
    <w:name w:val="List Table 6 Colorful - Accent 3"/>
    <w:basedOn w:val="82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920" w:customStyle="1">
    <w:name w:val="List Table 6 Colorful - Accent 4"/>
    <w:basedOn w:val="82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921" w:customStyle="1">
    <w:name w:val="List Table 6 Colorful - Accent 5"/>
    <w:basedOn w:val="82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922" w:customStyle="1">
    <w:name w:val="List Table 6 Colorful - Accent 6"/>
    <w:basedOn w:val="82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923">
    <w:name w:val="List Table 7 Colorful"/>
    <w:basedOn w:val="82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7f7f7f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7F7F7F" w:themeColor="text1" w:sz="4" w:space="0"/>
          <w:right w:val="none" w:color="000000" w:sz="0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1"/>
    <w:basedOn w:val="82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a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2"/>
    <w:basedOn w:val="82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d99695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sz="4" w:space="0"/>
          <w:right w:val="none" w:color="000000" w:sz="0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3"/>
    <w:basedOn w:val="82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c3d69b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sz="4" w:space="0"/>
          <w:right w:val="none" w:color="000000" w:sz="0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st Table 7 Colorful - Accent 4"/>
    <w:basedOn w:val="82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b2a1c6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sz="4" w:space="0"/>
          <w:right w:val="none" w:color="000000" w:sz="0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5"/>
    <w:basedOn w:val="82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92ccdc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sz="4" w:space="0"/>
          <w:right w:val="none" w:color="000000" w:sz="0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6"/>
    <w:basedOn w:val="82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fac090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sz="4" w:space="0"/>
          <w:right w:val="none" w:color="000000" w:sz="0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ned - Accent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1" w:customStyle="1">
    <w:name w:val="Lined - Accent 1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2" w:customStyle="1">
    <w:name w:val="Lined - Accent 2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33" w:customStyle="1">
    <w:name w:val="Lined - Accent 3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34" w:customStyle="1">
    <w:name w:val="Lined - Accent 4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35" w:customStyle="1">
    <w:name w:val="Lined - Accent 5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36" w:customStyle="1">
    <w:name w:val="Lined - Accent 6"/>
    <w:basedOn w:val="825"/>
    <w:uiPriority w:val="99"/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37" w:customStyle="1">
    <w:name w:val="Bordered &amp; Lined - Accent"/>
    <w:basedOn w:val="82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f2f2" w:fill="f2f2f2" w:themeFill="text1" w:themeFillTint="00"/>
      </w:tcPr>
    </w:tblStylePr>
    <w:tblStylePr w:type="band2Vert">
      <w:rPr>
        <w:color w:val="404040"/>
        <w:sz w:val="22"/>
      </w:rPr>
      <w:tcPr>
        <w:shd w:val="clear" w:color="f2f2f2" w:fill="f2f2f2" w:themeFill="text1" w:themeFillTint="00"/>
      </w:tcPr>
    </w:tblStylePr>
    <w:tblStylePr w:type="fir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firstRow">
      <w:rPr>
        <w:color w:val="f2f2f2"/>
        <w:sz w:val="22"/>
      </w:rPr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cPr>
        <w:shd w:val="clear" w:color="7f7f7f" w:fill="7f7f7f" w:themeFill="text1" w:themeFillTint="80"/>
      </w:tcPr>
    </w:tblStylePr>
  </w:style>
  <w:style w:type="table" w:styleId="938" w:customStyle="1">
    <w:name w:val="Bordered &amp; Lined - Accent 1"/>
    <w:basedOn w:val="825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c7d7ea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c7d7ea" w:fill="c7d7ea" w:themeFill="accent1" w:themeFillTint="50"/>
      </w:tcPr>
    </w:tblStylePr>
    <w:tblStylePr w:type="fir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firstRow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cPr>
        <w:shd w:val="clear" w:color="5d8ac2" w:fill="5d8ac2" w:themeFill="accent1" w:themeFillTint="EA"/>
      </w:tcPr>
    </w:tblStylePr>
  </w:style>
  <w:style w:type="table" w:styleId="939" w:customStyle="1">
    <w:name w:val="Bordered &amp; Lined - Accent 2"/>
    <w:basedOn w:val="825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2dcdc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2dcdc" w:fill="f2dcdc" w:themeFill="accent2" w:themeFillTint="32"/>
      </w:tcPr>
    </w:tblStylePr>
    <w:tblStylePr w:type="fir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firstRow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cPr>
        <w:shd w:val="clear" w:color="d99695" w:fill="d99695" w:themeFill="accent2" w:themeFillTint="97"/>
      </w:tcPr>
    </w:tblStylePr>
  </w:style>
  <w:style w:type="table" w:styleId="940" w:customStyle="1">
    <w:name w:val="Bordered &amp; Lined - Accent 3"/>
    <w:basedOn w:val="825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af1dc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eaf1dc" w:fill="eaf1dc" w:themeFill="accent3" w:themeFillTint="34"/>
      </w:tcPr>
    </w:tblStylePr>
    <w:tblStylePr w:type="fir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firstRow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cPr>
        <w:shd w:val="clear" w:color="9abb59" w:fill="9abb59" w:themeFill="accent3" w:themeFillTint="FE"/>
      </w:tcPr>
    </w:tblStylePr>
  </w:style>
  <w:style w:type="table" w:styleId="941" w:customStyle="1">
    <w:name w:val="Bordered &amp; Lined - Accent 4"/>
    <w:basedOn w:val="825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e5dfec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e5dfec" w:fill="e5dfec" w:themeFill="accent4" w:themeFillTint="34"/>
      </w:tcPr>
    </w:tblStylePr>
    <w:tblStylePr w:type="fir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firstRow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cPr>
        <w:shd w:val="clear" w:color="b2a1c6" w:fill="b2a1c6" w:themeFill="accent4" w:themeFillTint="9A"/>
      </w:tcPr>
    </w:tblStylePr>
  </w:style>
  <w:style w:type="table" w:styleId="942" w:customStyle="1">
    <w:name w:val="Bordered &amp; Lined - Accent 5"/>
    <w:basedOn w:val="825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daeef3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daeef3" w:fill="daeef3" w:themeFill="accent5" w:themeFillTint="34"/>
      </w:tcPr>
    </w:tblStylePr>
    <w:tblStylePr w:type="firstCol">
      <w:rPr>
        <w:color w:val="f2f2f2"/>
        <w:sz w:val="22"/>
      </w:rPr>
      <w:tcPr>
        <w:shd w:val="clear" w:color="4bacc6" w:fill="4bacc6" w:themeFill="accent5"/>
      </w:tcPr>
    </w:tblStylePr>
    <w:tblStylePr w:type="firstRow">
      <w:rPr>
        <w:color w:val="f2f2f2"/>
        <w:sz w:val="22"/>
      </w:rPr>
      <w:tcPr>
        <w:shd w:val="clear" w:color="4bacc6" w:fill="4bacc6" w:themeFill="accent5"/>
      </w:tcPr>
    </w:tblStylePr>
    <w:tblStylePr w:type="lastCol">
      <w:rPr>
        <w:color w:val="f2f2f2"/>
        <w:sz w:val="22"/>
      </w:rPr>
      <w:tcPr>
        <w:shd w:val="clear" w:color="4bacc6" w:fill="4bacc6" w:themeFill="accent5"/>
      </w:tcPr>
    </w:tblStylePr>
    <w:tblStylePr w:type="lastRow">
      <w:rPr>
        <w:color w:val="f2f2f2"/>
        <w:sz w:val="22"/>
      </w:rPr>
      <w:tcPr>
        <w:shd w:val="clear" w:color="4bacc6" w:fill="4bacc6" w:themeFill="accent5"/>
      </w:tcPr>
    </w:tblStylePr>
  </w:style>
  <w:style w:type="table" w:styleId="943" w:customStyle="1">
    <w:name w:val="Bordered &amp; Lined - Accent 6"/>
    <w:basedOn w:val="825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de9d8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de9d8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79646" w:fill="f79646" w:themeFill="accent6"/>
      </w:tcPr>
    </w:tblStylePr>
    <w:tblStylePr w:type="firstRow">
      <w:rPr>
        <w:color w:val="f2f2f2"/>
        <w:sz w:val="22"/>
      </w:rPr>
      <w:tcPr>
        <w:shd w:val="clear" w:color="f79646" w:fill="f79646" w:themeFill="accent6"/>
      </w:tcPr>
    </w:tblStylePr>
    <w:tblStylePr w:type="lastCol">
      <w:rPr>
        <w:color w:val="f2f2f2"/>
        <w:sz w:val="22"/>
      </w:rPr>
      <w:tcPr>
        <w:shd w:val="clear" w:color="f79646" w:fill="f79646" w:themeFill="accent6"/>
      </w:tcPr>
    </w:tblStylePr>
    <w:tblStylePr w:type="lastRow">
      <w:rPr>
        <w:color w:val="f2f2f2"/>
        <w:sz w:val="22"/>
      </w:rPr>
      <w:tcPr>
        <w:shd w:val="clear" w:color="f79646" w:fill="f79646" w:themeFill="accent6"/>
      </w:tcPr>
    </w:tblStylePr>
  </w:style>
  <w:style w:type="table" w:styleId="944" w:customStyle="1">
    <w:name w:val="Bordered"/>
    <w:basedOn w:val="82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945" w:customStyle="1">
    <w:name w:val="Bordered - Accent 1"/>
    <w:basedOn w:val="82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6" w:customStyle="1">
    <w:name w:val="Bordered - Accent 2"/>
    <w:basedOn w:val="82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947" w:customStyle="1">
    <w:name w:val="Bordered - Accent 3"/>
    <w:basedOn w:val="82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948" w:customStyle="1">
    <w:name w:val="Bordered - Accent 4"/>
    <w:basedOn w:val="82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949" w:customStyle="1">
    <w:name w:val="Bordered - Accent 5"/>
    <w:basedOn w:val="82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950" w:customStyle="1">
    <w:name w:val="Bordered - Accent 6"/>
    <w:basedOn w:val="82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AC090" w:themeColor="accent6" w:sz="12" w:space="0"/>
        </w:tcBorders>
      </w:tcPr>
    </w:tblStylePr>
  </w:style>
  <w:style w:type="table" w:styleId="951">
    <w:name w:val="Table Grid"/>
    <w:basedOn w:val="825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www.rts-tender.ru/" TargetMode="External"/><Relationship Id="rId10" Type="http://schemas.openxmlformats.org/officeDocument/2006/relationships/hyperlink" Target="http://www.rts-tender.ru/" TargetMode="External"/><Relationship Id="rId11" Type="http://schemas.openxmlformats.org/officeDocument/2006/relationships/hyperlink" Target="http://www.rts-tender.ru" TargetMode="External"/><Relationship Id="rId12" Type="http://schemas.openxmlformats.org/officeDocument/2006/relationships/hyperlink" Target="https://www.rts-tender.ru/" TargetMode="External"/><Relationship Id="rId13" Type="http://schemas.openxmlformats.org/officeDocument/2006/relationships/hyperlink" Target="http://www.rts-tender.ru/" TargetMode="External"/><Relationship Id="rId14" Type="http://schemas.openxmlformats.org/officeDocument/2006/relationships/hyperlink" Target="https://www.rts-tender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Grizli777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dc:language>ru-RU</dc:language>
  <cp:revision>49</cp:revision>
  <dcterms:created xsi:type="dcterms:W3CDTF">2023-10-31T06:24:00Z</dcterms:created>
  <dcterms:modified xsi:type="dcterms:W3CDTF">2025-04-18T11:10:56Z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A6359D14764B43E9BA567EF3ABEF27A6</vt:lpwstr>
  </property>
  <property fmtid="{D5CDD505-2E9C-101B-9397-08002B2CF9AE}" pid="3" name="KSOProductBuildVer">
    <vt:lpwstr>1049-11.2.0.11516</vt:lpwstr>
  </property>
</Properties>
</file>