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51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left"/>
        <w:spacing w:before="0" w:after="0" w:line="289" w:lineRule="atLeast"/>
        <w:rPr>
          <w:rFonts w:ascii="Times New Roman" w:hAnsi="Times New Roman" w:cs="Times New Roman"/>
          <w:b/>
          <w:i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21 января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2025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 августа 2024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1426 «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раво заключени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Мелиоративная, земельный участок 1б».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Лот № 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улица Мелиоративная, земельный участок 1б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1273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кадастровый номер: 44:27:060101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813;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производственная деятельность, тяжелая промышленность, автомобилестроительная промышленность, легкая промышленность, энергетика, пищевая промышленность, строительная промышленность, связь, склад, деловое управление, обеспечение деятельности в области гидро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метеорологии и смежных с ней областях, обеспечение внутреннего правопорядка, коммунальное обслуживание, автомобильный транспорт, служебные гаражи, хранение автотранспорта, трубопроводный транспорт, объекты дорожного сервиса, научно-производственная деятель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ность, фармацевтическая промышленность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sz w:val="22"/>
          <w:szCs w:val="22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особые условия использования и режим хозяйственной деятельности в охранных зонах инженерных коммуни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к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а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ций;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производственная деятельност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тяжелая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автомобилестроительная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легкая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энергетика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пищевая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строительная промышленность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связь: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склад: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деловое управление: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обеспечение деятельности в области гидрометеорологии и смежных с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ней областях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обеспечение внутреннего правопорядка: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коммунальное обслужи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вание: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здания, предназначенные для приема физических и юридических лиц в связи с предоставлением им коммунальных услуг: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предельная высота зданий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11м; минимальный отступ от границ земельного участк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автомобильный транспорт: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служебные гаражи: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хранение автотранспорта: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трубопроводный транспорт: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объекты дорожного сервиса: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50; предельная высота здания - 10.5 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научно-производственная деятель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фармацевтическая промышленность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- срок аренды земельного участка: 5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лет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6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ев;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» от 09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4672д, от 10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4710д;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09.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3987,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исх4201/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875-2024;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МУП г. Костромы «Городские сети» от 10.07.2024 №13-01/02951;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280 100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Двести восемьдесят тысяч сто)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8 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(Восемь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тысяч четыреста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280 100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Двести восемьдесят тысяч сто)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ителя.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 w:eastAsia="Times New Roman" w:cs="Times New Roman"/>
          <w:bCs/>
          <w:position w:val="0"/>
          <w:sz w:val="22"/>
          <w:szCs w:val="22"/>
        </w:rPr>
        <w:t xml:space="preserve">на один ЛОТ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ата и время начала подачи заявок: 17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декабря 2024 года с 10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Дата и время окончания подачи заявок: 18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www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 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i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rts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-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tender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 (ООО «РТС-тендер»)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:shd w:val="clear" w:color="auto" w:fill="ffffff"/>
        </w:rPr>
        <w:t xml:space="preserve">20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  <w:shd w:val="clear" w:color="auto" w:fill="ffffff"/>
        </w:rPr>
        <w:t xml:space="preserve">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5 года 8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БИК 044525360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Расчётный счёт: 40702810512030016362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Корр. счёт 30101810445250000360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ИНН 7710357167 КПП 773001001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9. Вз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есто, дата, время и порядок определения участников аукциона: 20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5 года в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www.rts-tend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(ООО «РТС-тендер»).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11.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21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января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5 года в 10 час. 00 мин.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усмотренного пункт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нем.   </w:t>
      </w:r>
      <w:bookmarkEnd w:id="0"/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17.</w:t>
      </w:r>
      <w:r>
        <w:rPr>
          <w:rFonts w:ascii="Times New Roman" w:hAnsi="Times New Roman"/>
          <w:sz w:val="22"/>
          <w:szCs w:val="22"/>
        </w:rPr>
        <w:t xml:space="preserve">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ен 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зоне промышленных и коммунально-складских зон размещения объектов II-V класса опасности П-2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3.3. Градостроительный регламент промышленных</w:t>
        <w:br/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и коммунально-складских зон размещения объектов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II, III класса опасности П-2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3.3.1. Для земельных участков и объектов капитального строительства, расположенных в пределах зоны размещения промышленных и коммунально-складских зон размещения объектов II-V класса опасности П-2 (далее - зона П-2) устанавливаются следующие основные виды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Производственная деятельность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Тяжелая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Автомобилестроительная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6.2.1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Легкая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Энергетика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линейных объектов и объектов капитального строительства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Пищевая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6.4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Строительная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Связь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нсивности электромагнитного излучения радиочастот;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6.8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Склад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6.9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Деловое управление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- 8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3.9.1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Автомобильный транспорт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7.2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Трубопроводный транспорт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нефтепроводы, водопроводы, газопроводы и иные трубопроводы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7.5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дорожного сервиса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Улично-дорожная сеть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12.0.1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6.12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Фармацевтическая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6.3.1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2.7.2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Стоянка транспортных средств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3.3.2. Для земельных участков и объектов капитального строительства, расположенных в пределах зоны П-2,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413"/>
        <w:gridCol w:w="2421"/>
        <w:gridCol w:w="2479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Общественное питание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максимальные размеры земельных участков на 100 посадочных мест: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до 50 - 0,2-0,25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от 50 до 150 - 0,15-0,2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свыше 150 - 0,1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объектов капитального строительства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для площадок для занятия спортом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Выставочно-ярмарочная деятельность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4.10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Магазины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- 0,04 га на 100 кв. м торговой площади;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Нефтехимическая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6.5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3.3.3. Для земельных участков и объектов капитального строительства, расположенных в пределах зоны П-2, устанавливаются следующие вспомогательные виды использования: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7322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объектов энергетики: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складов: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газоконденсатные и газоперекачивающие станции, обслуживающие газохранилища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6.9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обслуживание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4.10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highlight w:val="none"/>
          <w14:ligatures w14:val="none"/>
        </w:rPr>
      </w:pPr>
      <w:r>
        <w:br w:type="page" w:clear="all"/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751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51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51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88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1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88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51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51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8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8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51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51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51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1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51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655" w:firstLine="0"/>
        <w:jc w:val="both"/>
        <w:widowControl w:val="off"/>
      </w:pPr>
      <w:r>
        <w:rPr>
          <w:sz w:val="20"/>
          <w:szCs w:val="20"/>
        </w:rPr>
      </w:r>
      <w:r/>
    </w:p>
    <w:sectPr>
      <w:footnotePr>
        <w:numFmt w:val="decimal"/>
      </w:footnotePr>
      <w:endnotePr/>
      <w:type w:val="nextPage"/>
      <w:pgSz w:w="11906" w:h="16838" w:orient="portrait"/>
      <w:pgMar w:top="425" w:right="707" w:bottom="96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1"/>
        <w:jc w:val="both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96"/>
    <w:uiPriority w:val="10"/>
    <w:rPr>
      <w:sz w:val="48"/>
      <w:szCs w:val="48"/>
    </w:rPr>
  </w:style>
  <w:style w:type="character" w:styleId="746">
    <w:name w:val="Subtitle Char"/>
    <w:basedOn w:val="761"/>
    <w:link w:val="797"/>
    <w:uiPriority w:val="11"/>
    <w:rPr>
      <w:sz w:val="24"/>
      <w:szCs w:val="24"/>
    </w:rPr>
  </w:style>
  <w:style w:type="character" w:styleId="747">
    <w:name w:val="Quote Char"/>
    <w:link w:val="798"/>
    <w:uiPriority w:val="29"/>
    <w:rPr>
      <w:i/>
    </w:rPr>
  </w:style>
  <w:style w:type="character" w:styleId="748">
    <w:name w:val="Intense Quote Char"/>
    <w:link w:val="799"/>
    <w:uiPriority w:val="30"/>
    <w:rPr>
      <w:i/>
    </w:rPr>
  </w:style>
  <w:style w:type="character" w:styleId="749">
    <w:name w:val="Endnote Text Char"/>
    <w:link w:val="801"/>
    <w:uiPriority w:val="99"/>
    <w:rPr>
      <w:sz w:val="20"/>
    </w:rPr>
  </w:style>
  <w:style w:type="paragraph" w:styleId="750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next w:val="751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7">
    <w:name w:val="Heading 6"/>
    <w:basedOn w:val="751"/>
    <w:next w:val="75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qFormat/>
  </w:style>
  <w:style w:type="character" w:styleId="762" w:customStyle="1">
    <w:name w:val="Заголовок 2 Знак"/>
    <w:basedOn w:val="761"/>
    <w:uiPriority w:val="9"/>
    <w:qFormat/>
    <w:rPr>
      <w:rFonts w:ascii="Arial" w:hAnsi="Arial" w:eastAsia="Arial" w:cs="Arial"/>
      <w:sz w:val="34"/>
    </w:rPr>
  </w:style>
  <w:style w:type="character" w:styleId="763" w:customStyle="1">
    <w:name w:val="Заголовок 6 Знак"/>
    <w:basedOn w:val="7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Знак"/>
    <w:basedOn w:val="761"/>
    <w:uiPriority w:val="10"/>
    <w:qFormat/>
    <w:rPr>
      <w:sz w:val="48"/>
      <w:szCs w:val="48"/>
    </w:rPr>
  </w:style>
  <w:style w:type="character" w:styleId="768" w:customStyle="1">
    <w:name w:val="Подзаголовок Знак"/>
    <w:basedOn w:val="761"/>
    <w:uiPriority w:val="11"/>
    <w:qFormat/>
    <w:rPr>
      <w:sz w:val="24"/>
      <w:szCs w:val="24"/>
    </w:rPr>
  </w:style>
  <w:style w:type="character" w:styleId="769" w:customStyle="1">
    <w:name w:val="Цитата 2 Знак"/>
    <w:link w:val="798"/>
    <w:uiPriority w:val="29"/>
    <w:qFormat/>
    <w:rPr>
      <w:i/>
    </w:rPr>
  </w:style>
  <w:style w:type="character" w:styleId="770" w:customStyle="1">
    <w:name w:val="Выделенная цитата Знак"/>
    <w:link w:val="799"/>
    <w:uiPriority w:val="30"/>
    <w:qFormat/>
    <w:rPr>
      <w:i/>
    </w:rPr>
  </w:style>
  <w:style w:type="character" w:styleId="771" w:customStyle="1">
    <w:name w:val="Header Char"/>
    <w:basedOn w:val="761"/>
    <w:uiPriority w:val="99"/>
    <w:qFormat/>
  </w:style>
  <w:style w:type="character" w:styleId="772" w:customStyle="1">
    <w:name w:val="Footer Char"/>
    <w:basedOn w:val="761"/>
    <w:uiPriority w:val="99"/>
    <w:qFormat/>
  </w:style>
  <w:style w:type="character" w:styleId="773" w:customStyle="1">
    <w:name w:val="Caption Char"/>
    <w:uiPriority w:val="99"/>
    <w:qFormat/>
  </w:style>
  <w:style w:type="character" w:styleId="774" w:customStyle="1">
    <w:name w:val="Footnote Text Char"/>
    <w:uiPriority w:val="99"/>
    <w:qFormat/>
    <w:rPr>
      <w:sz w:val="18"/>
    </w:rPr>
  </w:style>
  <w:style w:type="character" w:styleId="775" w:customStyle="1">
    <w:name w:val="Текст концевой сноски Знак"/>
    <w:uiPriority w:val="99"/>
    <w:qFormat/>
    <w:rPr>
      <w:sz w:val="20"/>
    </w:rPr>
  </w:style>
  <w:style w:type="character" w:styleId="776">
    <w:name w:val="Символ концевой сноски"/>
    <w:basedOn w:val="761"/>
    <w:uiPriority w:val="99"/>
    <w:semiHidden/>
    <w:unhideWhenUsed/>
    <w:qFormat/>
    <w:rPr>
      <w:vertAlign w:val="superscript"/>
    </w:rPr>
  </w:style>
  <w:style w:type="character" w:styleId="777">
    <w:name w:val="endnote reference"/>
    <w:rPr>
      <w:vertAlign w:val="superscript"/>
    </w:rPr>
  </w:style>
  <w:style w:type="character" w:styleId="778">
    <w:name w:val="FollowedHyperlink"/>
    <w:basedOn w:val="761"/>
    <w:uiPriority w:val="99"/>
    <w:unhideWhenUsed/>
    <w:qFormat/>
    <w:rPr>
      <w:color w:val="800080"/>
      <w:u w:val="single"/>
    </w:rPr>
  </w:style>
  <w:style w:type="character" w:styleId="779">
    <w:name w:val="Hyperlink"/>
    <w:basedOn w:val="761"/>
    <w:uiPriority w:val="99"/>
    <w:unhideWhenUsed/>
    <w:qFormat/>
    <w:rPr>
      <w:color w:val="0000ff"/>
      <w:u w:val="single"/>
    </w:rPr>
  </w:style>
  <w:style w:type="character" w:styleId="780">
    <w:name w:val="Strong"/>
    <w:basedOn w:val="761"/>
    <w:qFormat/>
    <w:rPr>
      <w:rFonts w:cs="Times New Roman"/>
      <w:b/>
      <w:bCs/>
    </w:rPr>
  </w:style>
  <w:style w:type="character" w:styleId="781" w:customStyle="1">
    <w:name w:val="Верх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2" w:customStyle="1">
    <w:name w:val="Ниж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3" w:customStyle="1">
    <w:name w:val="10"/>
    <w:basedOn w:val="761"/>
    <w:qFormat/>
    <w:rPr>
      <w:rFonts w:ascii="Times New Roman" w:hAnsi="Times New Roman" w:cs="Times New Roman"/>
    </w:rPr>
  </w:style>
  <w:style w:type="character" w:styleId="784" w:customStyle="1">
    <w:name w:val="15"/>
    <w:basedOn w:val="761"/>
    <w:qFormat/>
    <w:rPr>
      <w:rFonts w:ascii="Times New Roman" w:hAnsi="Times New Roman" w:cs="Times New Roman"/>
      <w:color w:val="0000ff"/>
      <w:u w:val="single"/>
    </w:rPr>
  </w:style>
  <w:style w:type="character" w:styleId="785" w:customStyle="1">
    <w:name w:val="16"/>
    <w:basedOn w:val="761"/>
    <w:qFormat/>
    <w:rPr>
      <w:rFonts w:ascii="Times New Roman" w:hAnsi="Times New Roman" w:cs="Times New Roman"/>
    </w:rPr>
  </w:style>
  <w:style w:type="character" w:styleId="786" w:customStyle="1">
    <w:name w:val="rts-text"/>
    <w:basedOn w:val="761"/>
    <w:qFormat/>
  </w:style>
  <w:style w:type="character" w:styleId="787">
    <w:name w:val="Символ сноски"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сноски Знак"/>
    <w:basedOn w:val="761"/>
    <w:qFormat/>
    <w:rPr>
      <w:rFonts w:ascii="Times New Roman" w:hAnsi="Times New Roman" w:eastAsia="Times New Roman" w:cs="Times New Roman"/>
      <w:lang w:eastAsia="zh-CN"/>
    </w:rPr>
  </w:style>
  <w:style w:type="character" w:styleId="790" w:customStyle="1">
    <w:name w:val="Текст выноски Знак"/>
    <w:basedOn w:val="761"/>
    <w:link w:val="82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1">
    <w:name w:val="Заголовок"/>
    <w:basedOn w:val="751"/>
    <w:next w:val="79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2">
    <w:name w:val="Body Text"/>
    <w:basedOn w:val="751"/>
    <w:pPr>
      <w:spacing w:before="0" w:after="140" w:line="276" w:lineRule="auto"/>
    </w:pPr>
  </w:style>
  <w:style w:type="paragraph" w:styleId="793">
    <w:name w:val="List"/>
    <w:basedOn w:val="792"/>
    <w:rPr>
      <w:rFonts w:cs="Mangal"/>
    </w:rPr>
  </w:style>
  <w:style w:type="paragraph" w:styleId="794">
    <w:name w:val="Caption"/>
    <w:basedOn w:val="7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5">
    <w:name w:val="Указатель"/>
    <w:basedOn w:val="751"/>
    <w:qFormat/>
    <w:pPr>
      <w:suppressLineNumbers/>
    </w:pPr>
    <w:rPr>
      <w:rFonts w:cs="Mangal"/>
    </w:rPr>
  </w:style>
  <w:style w:type="paragraph" w:styleId="796">
    <w:name w:val="Title"/>
    <w:basedOn w:val="751"/>
    <w:next w:val="75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next w:val="751"/>
    <w:link w:val="768"/>
    <w:uiPriority w:val="11"/>
    <w:qFormat/>
    <w:pPr>
      <w:spacing w:before="200" w:after="200"/>
    </w:pPr>
  </w:style>
  <w:style w:type="paragraph" w:styleId="798">
    <w:name w:val="Quote"/>
    <w:basedOn w:val="751"/>
    <w:next w:val="751"/>
    <w:link w:val="769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51"/>
    <w:next w:val="751"/>
    <w:link w:val="77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1">
    <w:name w:val="endnote text"/>
    <w:basedOn w:val="751"/>
    <w:link w:val="775"/>
    <w:uiPriority w:val="99"/>
    <w:semiHidden/>
    <w:unhideWhenUsed/>
    <w:rPr>
      <w:sz w:val="20"/>
    </w:rPr>
  </w:style>
  <w:style w:type="paragraph" w:styleId="802">
    <w:name w:val="toc 1"/>
    <w:basedOn w:val="751"/>
    <w:next w:val="751"/>
    <w:uiPriority w:val="39"/>
    <w:unhideWhenUsed/>
    <w:pPr>
      <w:spacing w:before="0" w:after="57"/>
    </w:pPr>
  </w:style>
  <w:style w:type="paragraph" w:styleId="803">
    <w:name w:val="toc 3"/>
    <w:basedOn w:val="751"/>
    <w:next w:val="751"/>
    <w:uiPriority w:val="39"/>
    <w:unhideWhenUsed/>
    <w:pPr>
      <w:ind w:left="567" w:firstLine="0"/>
      <w:spacing w:before="0" w:after="57"/>
    </w:pPr>
  </w:style>
  <w:style w:type="paragraph" w:styleId="804">
    <w:name w:val="toc 4"/>
    <w:basedOn w:val="751"/>
    <w:next w:val="751"/>
    <w:uiPriority w:val="39"/>
    <w:unhideWhenUsed/>
    <w:pPr>
      <w:ind w:left="850" w:firstLine="0"/>
      <w:spacing w:before="0" w:after="57"/>
    </w:pPr>
  </w:style>
  <w:style w:type="paragraph" w:styleId="805">
    <w:name w:val="toc 5"/>
    <w:basedOn w:val="751"/>
    <w:next w:val="751"/>
    <w:uiPriority w:val="39"/>
    <w:unhideWhenUsed/>
    <w:pPr>
      <w:ind w:left="1134" w:firstLine="0"/>
      <w:spacing w:before="0" w:after="57"/>
    </w:pPr>
  </w:style>
  <w:style w:type="paragraph" w:styleId="806">
    <w:name w:val="toc 6"/>
    <w:basedOn w:val="751"/>
    <w:next w:val="751"/>
    <w:uiPriority w:val="39"/>
    <w:unhideWhenUsed/>
    <w:pPr>
      <w:ind w:left="1417" w:firstLine="0"/>
      <w:spacing w:before="0" w:after="57"/>
    </w:pPr>
  </w:style>
  <w:style w:type="paragraph" w:styleId="807">
    <w:name w:val="toc 7"/>
    <w:basedOn w:val="751"/>
    <w:next w:val="751"/>
    <w:uiPriority w:val="39"/>
    <w:unhideWhenUsed/>
    <w:pPr>
      <w:ind w:left="1701" w:firstLine="0"/>
      <w:spacing w:before="0" w:after="57"/>
    </w:pPr>
  </w:style>
  <w:style w:type="paragraph" w:styleId="808">
    <w:name w:val="toc 8"/>
    <w:basedOn w:val="751"/>
    <w:next w:val="751"/>
    <w:uiPriority w:val="39"/>
    <w:unhideWhenUsed/>
    <w:pPr>
      <w:ind w:left="1984" w:firstLine="0"/>
      <w:spacing w:before="0" w:after="57"/>
    </w:pPr>
  </w:style>
  <w:style w:type="paragraph" w:styleId="809">
    <w:name w:val="toc 9"/>
    <w:basedOn w:val="751"/>
    <w:next w:val="751"/>
    <w:uiPriority w:val="39"/>
    <w:unhideWhenUsed/>
    <w:pPr>
      <w:ind w:left="2268" w:firstLine="0"/>
      <w:spacing w:before="0" w:after="57"/>
    </w:pPr>
  </w:style>
  <w:style w:type="paragraph" w:styleId="810">
    <w:name w:val="Index Heading"/>
    <w:basedOn w:val="791"/>
  </w:style>
  <w:style w:type="paragraph" w:styleId="81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2">
    <w:name w:val="table of figures"/>
    <w:basedOn w:val="751"/>
    <w:next w:val="751"/>
    <w:uiPriority w:val="99"/>
    <w:unhideWhenUsed/>
    <w:qFormat/>
  </w:style>
  <w:style w:type="paragraph" w:styleId="813">
    <w:name w:val="Body Text Indent 3"/>
    <w:basedOn w:val="75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4">
    <w:name w:val="Колонтитул"/>
    <w:basedOn w:val="751"/>
    <w:qFormat/>
  </w:style>
  <w:style w:type="paragraph" w:styleId="815">
    <w:name w:val="Header"/>
    <w:basedOn w:val="751"/>
    <w:link w:val="781"/>
    <w:uiPriority w:val="99"/>
    <w:unhideWhenUsed/>
    <w:qFormat/>
  </w:style>
  <w:style w:type="paragraph" w:styleId="816">
    <w:name w:val="Footer"/>
    <w:basedOn w:val="751"/>
    <w:link w:val="782"/>
    <w:uiPriority w:val="99"/>
    <w:unhideWhenUsed/>
    <w:qFormat/>
  </w:style>
  <w:style w:type="paragraph" w:styleId="817">
    <w:name w:val="Normal (Web)"/>
    <w:basedOn w:val="75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9" w:customStyle="1">
    <w:name w:val="rezul"/>
    <w:basedOn w:val="75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0" w:customStyle="1">
    <w:name w:val="Заголов1"/>
    <w:basedOn w:val="75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1">
    <w:name w:val="List Paragraph"/>
    <w:basedOn w:val="751"/>
    <w:uiPriority w:val="99"/>
    <w:qFormat/>
    <w:pPr>
      <w:contextualSpacing/>
      <w:ind w:left="720" w:firstLine="0"/>
      <w:spacing w:before="0" w:after="0"/>
    </w:pPr>
  </w:style>
  <w:style w:type="paragraph" w:styleId="822">
    <w:name w:val="footnote text"/>
    <w:basedOn w:val="751"/>
    <w:link w:val="789"/>
    <w:rPr>
      <w:sz w:val="20"/>
      <w:szCs w:val="20"/>
      <w:lang w:eastAsia="zh-CN"/>
    </w:rPr>
  </w:style>
  <w:style w:type="paragraph" w:styleId="823">
    <w:name w:val="Balloon Text"/>
    <w:basedOn w:val="751"/>
    <w:link w:val="79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4" w:default="1">
    <w:name w:val="No List"/>
    <w:uiPriority w:val="99"/>
    <w:semiHidden/>
    <w:unhideWhenUsed/>
    <w:qFormat/>
  </w:style>
  <w:style w:type="table" w:styleId="8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8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9">
    <w:name w:val="Plain Table 3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5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7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5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7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9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0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1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2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3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1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2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3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4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5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6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7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5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7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8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9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0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1">
    <w:name w:val="Table Grid"/>
    <w:basedOn w:val="82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47</cp:revision>
  <dcterms:created xsi:type="dcterms:W3CDTF">2023-10-31T06:24:00Z</dcterms:created>
  <dcterms:modified xsi:type="dcterms:W3CDTF">2024-12-12T08:07:18Z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