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51"/>
        <w:ind w:left="5245" w:firstLine="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Утверждено</w:t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pStyle w:val="751"/>
        <w:ind w:left="5245" w:firstLine="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распоряжением начальника Управления имущественных и земельных отношений </w:t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pStyle w:val="751"/>
        <w:ind w:left="5245" w:firstLine="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Администрации города Костромы</w:t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pStyle w:val="751"/>
        <w:ind w:left="5245" w:firstLine="0"/>
        <w:jc w:val="center"/>
        <w:rPr>
          <w:bCs/>
          <w:i/>
        </w:rPr>
      </w:pPr>
      <w:r>
        <w:rPr>
          <w:bCs/>
          <w:i/>
        </w:rPr>
        <w:t xml:space="preserve">от _________________ № _______</w:t>
      </w:r>
      <w:r>
        <w:rPr>
          <w:bCs/>
          <w:i/>
        </w:rPr>
      </w:r>
      <w:r>
        <w:rPr>
          <w:bCs/>
          <w:i/>
        </w:rPr>
      </w:r>
    </w:p>
    <w:p>
      <w:pPr>
        <w:pStyle w:val="751"/>
        <w:ind w:left="5245" w:firstLine="0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751"/>
        <w:ind w:firstLine="851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20"/>
        <w:numPr>
          <w:ilvl w:val="0"/>
          <w:numId w:val="0"/>
        </w:numPr>
        <w:contextualSpacing w:val="0"/>
        <w:jc w:val="center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outlineLvl w:val="0"/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val="ru-RU"/>
        </w:rPr>
        <w:t xml:space="preserve">ИЗВЕЩЕНИЕ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820"/>
        <w:numPr>
          <w:ilvl w:val="0"/>
          <w:numId w:val="0"/>
        </w:numPr>
        <w:contextualSpacing w:val="0"/>
        <w:jc w:val="center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outlineLvl w:val="0"/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val="ru-RU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val="ru-RU"/>
        </w:rPr>
        <w:t xml:space="preserve"> проведении аукциона на право заключения договора аренды земельного участка, расположенного на территории города Костромы, государственная собственность на который не разграничена 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left"/>
        <w:spacing w:before="0" w:after="0" w:line="289" w:lineRule="atLeast"/>
        <w:rPr>
          <w:rFonts w:ascii="Times New Roman" w:hAnsi="Times New Roman" w:cs="Times New Roman"/>
          <w:b/>
          <w:i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b/>
          <w:i/>
          <w:positio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/>
          <w:position w:val="0"/>
          <w:sz w:val="22"/>
          <w:szCs w:val="22"/>
        </w:rPr>
      </w:r>
      <w:r>
        <w:rPr>
          <w:rFonts w:ascii="Times New Roman" w:hAnsi="Times New Roman" w:cs="Times New Roman"/>
          <w:b/>
          <w:i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1. Управление имущественных и земельных отношений Администрации города Костромы сообщает о проведении 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</w:rPr>
        <w:t xml:space="preserve">30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я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none"/>
        </w:rPr>
        <w:t xml:space="preserve">нваря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white"/>
        </w:rPr>
        <w:t xml:space="preserve">2025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white"/>
        </w:rPr>
        <w:t xml:space="preserve"> года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аукциона на право заключения договора аренды земельного участка.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Форма торгов – электронный аукцион. </w:t>
      </w:r>
      <w:r>
        <w:rPr>
          <w:rFonts w:ascii="Times New Roman" w:hAnsi="Times New Roman" w:cs="Times New Roman"/>
          <w:position w:val="0"/>
          <w:sz w:val="22"/>
          <w:szCs w:val="22"/>
          <w:highlight w:val="none"/>
        </w:rPr>
      </w:r>
      <w:r>
        <w:rPr>
          <w:rFonts w:ascii="Times New Roman" w:hAnsi="Times New Roman" w:cs="Times New Roman"/>
          <w:position w:val="0"/>
          <w:sz w:val="22"/>
          <w:szCs w:val="22"/>
          <w:highlight w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2. Основание проведения аукциона – постановление Администрации города Костром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ы от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4 октября 2024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года №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1759 «</w:t>
      </w:r>
      <w:r>
        <w:rPr>
          <w:rFonts w:ascii="Times New Roman" w:hAnsi="Times New Roman" w:eastAsia="Times New Roman" w:cs="Times New Roman"/>
          <w:color w:val="000000"/>
          <w:position w:val="0"/>
          <w:sz w:val="22"/>
          <w:szCs w:val="22"/>
        </w:rPr>
        <w:t xml:space="preserve">О проведении аукцио</w:t>
      </w:r>
      <w:r>
        <w:rPr>
          <w:rFonts w:ascii="Times New Roman" w:hAnsi="Times New Roman" w:eastAsia="Times New Roman" w:cs="Times New Roman"/>
          <w:color w:val="000000"/>
          <w:position w:val="0"/>
          <w:sz w:val="22"/>
          <w:szCs w:val="22"/>
        </w:rPr>
        <w:t xml:space="preserve">на на п</w:t>
      </w:r>
      <w:r>
        <w:rPr>
          <w:rFonts w:ascii="Times New Roman" w:hAnsi="Times New Roman" w:eastAsia="Times New Roman" w:cs="Times New Roman"/>
          <w:color w:val="000000"/>
          <w:position w:val="0"/>
          <w:sz w:val="22"/>
          <w:szCs w:val="22"/>
        </w:rPr>
        <w:t xml:space="preserve">раво заключения договора аренды земельного участка, государственная собственность на который не разграничена, расположенного по адресу: Российская Федерация, Костромская область, городской округ город Кострома, город Кострома, улица Шарьинская, 80»; </w:t>
      </w:r>
      <w:r>
        <w:rPr>
          <w:rFonts w:ascii="Times New Roman" w:hAnsi="Times New Roman" w:eastAsia="Times New Roman" w:cs="Times New Roman"/>
          <w:sz w:val="22"/>
          <w:szCs w:val="22"/>
          <w:lang w:eastAsia="ar-SA"/>
        </w:rPr>
        <w:t xml:space="preserve">решение Думы города Костромы от 1 марта 2017 года </w:t>
        <w:br/>
        <w:t xml:space="preserve">№ 22 «</w:t>
      </w:r>
      <w:r>
        <w:rPr>
          <w:rFonts w:ascii="Times New Roman" w:hAnsi="Times New Roman" w:eastAsia="Times New Roman" w:cs="Times New Roman"/>
          <w:sz w:val="22"/>
          <w:szCs w:val="22"/>
          <w:lang w:eastAsia="ar-SA"/>
        </w:rPr>
        <w:t xml:space="preserve">О</w:t>
      </w:r>
      <w:r>
        <w:rPr>
          <w:rFonts w:ascii="Times New Roman" w:hAnsi="Times New Roman" w:eastAsia="Times New Roman" w:cs="Times New Roman"/>
          <w:sz w:val="22"/>
          <w:szCs w:val="22"/>
          <w:lang w:eastAsia="ar-SA"/>
        </w:rPr>
        <w:t xml:space="preserve">б утверждении перечня муниципального имущества города Костромы, свободного от прав третьих лиц (за исключением имущественных прав субъектов малого и среднего предпринимательства), подлежащего предоставлению во владение и (или) пользование на долгосрочной о</w:t>
      </w:r>
      <w:r>
        <w:rPr>
          <w:rFonts w:ascii="Times New Roman" w:hAnsi="Times New Roman" w:eastAsia="Times New Roman" w:cs="Times New Roman"/>
          <w:sz w:val="22"/>
          <w:szCs w:val="22"/>
          <w:lang w:eastAsia="ar-SA"/>
        </w:rPr>
        <w:t xml:space="preserve">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eastAsia="Times New Roman" w:cs="Times New Roman"/>
          <w:sz w:val="22"/>
          <w:szCs w:val="22"/>
          <w:lang w:eastAsia="ar-SA"/>
        </w:rPr>
        <w:t xml:space="preserve">»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.</w:t>
      </w:r>
      <w:r>
        <w:rPr>
          <w:rFonts w:ascii="Times New Roman" w:hAnsi="Times New Roman" w:cs="Times New Roman"/>
          <w:position w:val="0"/>
          <w:sz w:val="22"/>
          <w:szCs w:val="22"/>
          <w:highlight w:val="none"/>
        </w:rPr>
      </w:r>
      <w:r>
        <w:rPr>
          <w:rFonts w:ascii="Times New Roman" w:hAnsi="Times New Roman" w:cs="Times New Roman"/>
          <w:position w:val="0"/>
          <w:sz w:val="22"/>
          <w:szCs w:val="22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3.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Участниками аукциона могут быть: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.1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.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внесённые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), а также физические лица, внесённые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(далее – индивидуальные предприниматели), крестьянские (фермерские) хо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зяйства, соответствующие критериям отнесения к субъектам малого и среднего предпринимательства в соответствии со статьей 4 Закона № 209-ФЗ, имеющие право на поддержку органами местного самоуправления в соответствии с частями 3, 5 статьи 14 Закона № 209-ФЗ;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.2. внесённые в Единый государственный реестр юридических лиц организации, образующие инфраструктуру поддержки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субъектов малого и среднего предпринимательства (за исключением указанных в статье 15 Закона № 209-ФЗ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Сведения о предмете аукциона: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jc w:val="center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b/>
          <w:position w:val="0"/>
          <w:sz w:val="22"/>
          <w:szCs w:val="22"/>
        </w:rPr>
        <w:t xml:space="preserve">Лот № 1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адрес</w:t>
      </w:r>
      <w:r>
        <w:rPr>
          <w:rFonts w:ascii="Times New Roman" w:hAnsi="Times New Roman" w:eastAsia="Times New Roman" w:cs="Times New Roman"/>
          <w:color w:val="000000"/>
          <w:position w:val="0"/>
          <w:sz w:val="22"/>
          <w:szCs w:val="22"/>
        </w:rPr>
        <w:t xml:space="preserve">: </w:t>
      </w:r>
      <w:r>
        <w:rPr>
          <w:rFonts w:ascii="Times New Roman" w:hAnsi="Times New Roman" w:eastAsia="Times New Roman" w:cs="Times New Roman"/>
          <w:color w:val="000000"/>
          <w:position w:val="0"/>
          <w:sz w:val="22"/>
          <w:szCs w:val="22"/>
        </w:rPr>
        <w:t xml:space="preserve">Российская Федерация, Костромская область, городской округ город Кострома, город Кострома, </w:t>
      </w:r>
      <w:r>
        <w:rPr>
          <w:rFonts w:ascii="Times New Roman" w:hAnsi="Times New Roman" w:eastAsia="Times New Roman" w:cs="Times New Roman"/>
          <w:color w:val="000000"/>
          <w:position w:val="0"/>
          <w:sz w:val="22"/>
          <w:szCs w:val="22"/>
        </w:rPr>
        <w:t xml:space="preserve">улица Шарьинская, 80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площадь: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750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к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в.м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кадастровый номер: 44:27:030101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: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2898;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категория земель: земли населенных пунктов;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eastAsia="Times New Roman" w:cs="Times New Roman"/>
          <w:position w:val="0"/>
          <w:sz w:val="22"/>
          <w:szCs w:val="22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разрешенное использова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н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ие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: магазины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color w:val="000000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обременения и ограничения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: участок расположен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в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приаэродромной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территории аэродрома Кострома (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Сокеркино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) (зона с особыми условиями использования территории с реестровым номером 44:00-6.587), третьей, четвертой, пятой и шестой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подзонах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приаэродромной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территории аэродрома Кострома (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Сокеркино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) (зоны с особыми условиями использования территории с реестровыми номерами 44:00-6.583; 44:00-6.584; 44:00-6.585; 44:00-6.593);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земельный участок расположен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в границах территории в районе поселка Волжский, ограниченной набережной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реки Кострома, границей существующей жилой застройки в поселке Волжский, проспектом Речным, садоводческими товариществами «Огонек-1» и «Юбилейный», границей города Костромы, границами земельных участков, находящихся в частной собственности, на которую пос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тановлением Администрации города Костромы от 17 сентября 2014 года </w:t>
        <w:br/>
        <w:t xml:space="preserve">№ 2475 утвержден проект планировки (далее – проект планир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овки)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;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о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хранная зона ТП 867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(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зона с особыми условиями использования территории с реестровыми номерами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44:27-6.6510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);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включен в Перечень муниципального имущества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города Костромы, свободного от прав третьих лиц (за исключением права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хозяйственного ведения, права оперативного управления, а также имущественных прав субъектов малого и среднего предпринимательства), подлежащего предоставлению во владение и (или) пользование на долгосрочной основе субъектам малого и среднего предпринимател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ьства и организациям, образующим инфрастру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>
        <w:rPr>
          <w:rFonts w:ascii="Times New Roman" w:hAnsi="Times New Roman" w:cs="Times New Roman"/>
          <w:sz w:val="22"/>
          <w:szCs w:val="22"/>
          <w:highlight w:val="none"/>
          <w14:ligatures w14:val="none"/>
        </w:rPr>
        <w:t xml:space="preserve">;</w:t>
      </w:r>
      <w:r/>
      <w:r>
        <w:rPr>
          <w:rFonts w:ascii="Times New Roman" w:hAnsi="Times New Roman" w:cs="Times New Roman"/>
          <w:color w:val="000000"/>
          <w14:ligatures w14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eastAsia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параметры строительства: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магазины: 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40; этажность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2 этажа; минимальный отступ от красных линий улицы Шарьинской и улицы Армейской - 6 м , в иных случаях –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 м;</w:t>
      </w:r>
      <w:r>
        <w:rPr>
          <w:rFonts w:ascii="Times New Roman" w:hAnsi="Times New Roman" w:cs="Times New Roman"/>
          <w:position w:val="0"/>
          <w:sz w:val="22"/>
          <w:szCs w:val="22"/>
          <w:highlight w:val="white"/>
        </w:rPr>
      </w:r>
      <w:r>
        <w:rPr>
          <w:rFonts w:ascii="Times New Roman" w:hAnsi="Times New Roman" w:cs="Times New Roman"/>
          <w:position w:val="0"/>
          <w:sz w:val="22"/>
          <w:szCs w:val="22"/>
          <w:highlight w:val="whit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eastAsia="Times New Roman" w:cs="Times New Roman"/>
          <w:color w:val="000000" w:themeColor="text1"/>
          <w:position w:val="0"/>
          <w:sz w:val="22"/>
          <w:szCs w:val="22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position w:val="0"/>
          <w:sz w:val="22"/>
          <w:szCs w:val="22"/>
          <w:highlight w:val="white"/>
        </w:rPr>
        <w:t xml:space="preserve">- срок аренды земельного участка: </w:t>
      </w:r>
      <w:r>
        <w:rPr>
          <w:rFonts w:ascii="Times New Roman" w:hAnsi="Times New Roman" w:eastAsia="Times New Roman" w:cs="Times New Roman"/>
          <w:color w:val="000000" w:themeColor="text1"/>
          <w:position w:val="0"/>
          <w:sz w:val="22"/>
          <w:szCs w:val="22"/>
          <w:highlight w:val="white"/>
        </w:rPr>
        <w:t xml:space="preserve">2 года  </w:t>
      </w:r>
      <w:r>
        <w:rPr>
          <w:rFonts w:ascii="Times New Roman" w:hAnsi="Times New Roman" w:eastAsia="Times New Roman" w:cs="Times New Roman"/>
          <w:color w:val="000000" w:themeColor="text1"/>
          <w:position w:val="0"/>
          <w:sz w:val="22"/>
          <w:szCs w:val="22"/>
          <w:highlight w:val="white"/>
        </w:rPr>
        <w:t xml:space="preserve">6 месяц</w:t>
      </w:r>
      <w:r>
        <w:rPr>
          <w:rFonts w:ascii="Times New Roman" w:hAnsi="Times New Roman" w:eastAsia="Times New Roman" w:cs="Times New Roman"/>
          <w:color w:val="000000" w:themeColor="text1"/>
          <w:position w:val="0"/>
          <w:sz w:val="22"/>
          <w:szCs w:val="22"/>
          <w:highlight w:val="white"/>
        </w:rPr>
        <w:t xml:space="preserve">ев;</w:t>
      </w:r>
      <w:r>
        <w:rPr>
          <w:rFonts w:ascii="Times New Roman" w:hAnsi="Times New Roman" w:eastAsia="Times New Roman" w:cs="Times New Roman"/>
          <w:color w:val="000000" w:themeColor="text1"/>
          <w:position w:val="0"/>
          <w:sz w:val="22"/>
          <w:szCs w:val="22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position w:val="0"/>
          <w:sz w:val="22"/>
          <w:szCs w:val="22"/>
          <w:highlight w:val="whit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информация о возможности подключения (технологического присоединения): водоснабжение, водоотведение, ливневая канализация от МУП города Костромы «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Костромагорводоканал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» от 16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.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07.2024 № исх.02.11/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4832д, от 16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.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07.2024 № исх.02.11/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4825д;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газоснабжение от ООО «Газпром газораспределение Кострома» от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15.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07.2024 №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ИС-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15/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4126, теплоснабжение от ПАО «ТГК-2» от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12.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07.2024 № исх4201/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881-2024;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МУП г. Костромы «Городские сети» от 11.09.2024 №13-01/04059;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начальный размер ежегодной арендной платы: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747 000 (Семьсот сорок семь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тысяч) рублей;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шаг аукциона: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22 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410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(Двадцать две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тысячи четыреста десять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) рублей;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b/>
          <w:bCs/>
          <w:color w:val="000000" w:themeColor="text1"/>
          <w:position w:val="0"/>
          <w:sz w:val="22"/>
          <w:szCs w:val="22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размер задатка: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747 000 (Семьсот сорок семь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тысяч)</w:t>
      </w:r>
      <w:r/>
      <w:r>
        <w:rPr>
          <w:rFonts w:ascii="Times New Roman" w:hAnsi="Times New Roman" w:eastAsia="Times New Roman" w:cs="Times New Roman"/>
          <w:position w:val="0"/>
          <w:sz w:val="22"/>
          <w:szCs w:val="22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рублей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.</w:t>
      </w:r>
      <w:r>
        <w:rPr>
          <w:rFonts w:ascii="Times New Roman" w:hAnsi="Times New Roman" w:cs="Times New Roman"/>
          <w:b/>
          <w:bCs/>
          <w:color w:val="000000" w:themeColor="text1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cs="Times New Roman"/>
          <w:b/>
          <w:bCs/>
          <w:color w:val="000000" w:themeColor="text1"/>
          <w:position w:val="0"/>
          <w:sz w:val="22"/>
          <w:szCs w:val="22"/>
          <w:highlight w:val="none"/>
          <w14:ligatures w14:val="none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4. Организатор аукцио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на – Управление имущественных и земельных отношений Администрации города Костромы; место нахождения: 156005, Костромская область, город Кострома, площадь Конституции, 2; телефон (4942) 42-68-41, 44-07-64; e-mail: uizo@gradkostroma.ru (далее – организатор).</w:t>
      </w:r>
      <w:r>
        <w:rPr>
          <w:rFonts w:ascii="Times New Roman" w:hAnsi="Times New Roman" w:cs="Times New Roman"/>
          <w:position w:val="0"/>
          <w:sz w:val="22"/>
          <w:szCs w:val="22"/>
          <w:highlight w:val="white"/>
        </w:rPr>
      </w:r>
      <w:r>
        <w:rPr>
          <w:rFonts w:ascii="Times New Roman" w:hAnsi="Times New Roman" w:cs="Times New Roman"/>
          <w:position w:val="0"/>
          <w:sz w:val="22"/>
          <w:szCs w:val="22"/>
          <w:highlight w:val="whit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5. Заявка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(Приложение 1)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на участие в электронном аукционе с указанием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банковских реквизитов счета для возврата задатка направляется оператору электронной площадки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на сайте </w:t>
      </w:r>
      <w:hyperlink r:id="rId9" w:tooltip="https://www.rts-tender.ru/" w:history="1"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</w:rPr>
          <w:t xml:space="preserve">https://www.rts-tender.ru/</w:t>
        </w:r>
      </w:hyperlink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(ООО «РТС-тендер»)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в форме электронного документа с приложением документов. Заявка на участие в электронном аукционе, а также прилагаемые к ней документы подписываются усиленной квалифицированной электронной подписью заяв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ителя.</w:t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</w:p>
    <w:p>
      <w:pPr>
        <w:pStyle w:val="818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ru-RU"/>
        </w:rPr>
        <w:t xml:space="preserve">К заявке на участие прилагаются следующие документы:</w:t>
      </w:r>
      <w:r>
        <w:rPr>
          <w:rFonts w:ascii="Times New Roman" w:hAnsi="Times New Roman" w:cs="Times New Roman"/>
          <w:position w:val="0"/>
          <w:sz w:val="22"/>
          <w:szCs w:val="22"/>
          <w:highlight w:val="none"/>
        </w:rPr>
      </w:r>
      <w:r>
        <w:rPr>
          <w:rFonts w:ascii="Times New Roman" w:hAnsi="Times New Roman" w:cs="Times New Roman"/>
          <w:position w:val="0"/>
          <w:sz w:val="22"/>
          <w:szCs w:val="22"/>
          <w:highlight w:val="none"/>
        </w:rPr>
      </w:r>
    </w:p>
    <w:p>
      <w:pPr>
        <w:pStyle w:val="818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ru-RU"/>
        </w:rPr>
        <w:t xml:space="preserve">- копии документов, удостоверяющих личность (для физических лиц);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818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ru-RU"/>
        </w:rPr>
        <w:t xml:space="preserve">- документ, подтверждающий полномочия представителя претендента, если с заявкой обращается представитель претендента.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818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ru-RU"/>
        </w:rPr>
        <w:t xml:space="preserve">- документы, подтверждающие внесение задатка, представление которых признается заключением соглашения о задатке.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818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ru-RU"/>
        </w:rPr>
        <w:t xml:space="preserve">В случа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ru-RU"/>
        </w:rPr>
        <w:t xml:space="preserve">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818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ru-RU"/>
        </w:rPr>
        <w:t xml:space="preserve">Одно лицо имеет право подать только одну заявку </w:t>
      </w:r>
      <w:r>
        <w:rPr>
          <w:rFonts w:ascii="Times New Roman" w:hAnsi="Times New Roman" w:eastAsia="Times New Roman" w:cs="Times New Roman"/>
          <w:bCs/>
          <w:position w:val="0"/>
          <w:sz w:val="22"/>
          <w:szCs w:val="22"/>
        </w:rPr>
        <w:t xml:space="preserve">на один ЛОТ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ru-RU"/>
        </w:rPr>
        <w:t xml:space="preserve">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818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ru-RU"/>
        </w:rPr>
        <w:t xml:space="preserve">Заявитель вправе не позднее даты и времени окончания приема заявок, указанных в извещении, отозвать заявку путем направления уведомления об отзыве заявки на электронную площадку.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818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  <w:lang w:eastAsia="ru-RU"/>
        </w:rPr>
        <w:t xml:space="preserve">ата и время начала подачи заявок: 27 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  <w:lang w:eastAsia="ru-RU"/>
        </w:rPr>
        <w:t xml:space="preserve">декабря 2024 года с 10 час 00 мин. по местному времени.</w:t>
      </w:r>
      <w:r>
        <w:rPr>
          <w:rFonts w:ascii="Times New Roman" w:hAnsi="Times New Roman" w:cs="Times New Roman"/>
          <w:position w:val="0"/>
          <w:sz w:val="22"/>
          <w:szCs w:val="22"/>
          <w:highlight w:val="white"/>
        </w:rPr>
      </w:r>
      <w:r>
        <w:rPr>
          <w:rFonts w:ascii="Times New Roman" w:hAnsi="Times New Roman" w:cs="Times New Roman"/>
          <w:position w:val="0"/>
          <w:sz w:val="22"/>
          <w:szCs w:val="22"/>
          <w:highlight w:val="white"/>
        </w:rPr>
      </w:r>
    </w:p>
    <w:p>
      <w:pPr>
        <w:pStyle w:val="818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  <w:lang w:eastAsia="ru-RU"/>
        </w:rPr>
        <w:t xml:space="preserve">Дата и время окончания подачи заявок: 26 января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  <w:lang w:eastAsia="ru-RU"/>
        </w:rPr>
        <w:t xml:space="preserve"> 202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  <w:lang w:eastAsia="ru-RU"/>
        </w:rPr>
        <w:t xml:space="preserve">5 года в 18 час 00 мин. по местному времени.</w:t>
      </w:r>
      <w:r>
        <w:rPr>
          <w:rFonts w:ascii="Times New Roman" w:hAnsi="Times New Roman" w:cs="Times New Roman"/>
          <w:position w:val="0"/>
          <w:sz w:val="22"/>
          <w:szCs w:val="22"/>
          <w:highlight w:val="white"/>
        </w:rPr>
      </w:r>
      <w:r>
        <w:rPr>
          <w:rFonts w:ascii="Times New Roman" w:hAnsi="Times New Roman" w:cs="Times New Roman"/>
          <w:position w:val="0"/>
          <w:sz w:val="22"/>
          <w:szCs w:val="22"/>
          <w:highlight w:val="white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shd w:val="clear" w:color="auto" w:fill="ffffff"/>
        </w:rPr>
        <w:t xml:space="preserve">6. 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shd w:val="clear" w:color="auto" w:fill="ffffff"/>
        </w:rPr>
        <w:t xml:space="preserve">Срок, место и порядок предоставления информационного сообщения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shd w:val="clear" w:color="auto" w:fill="ffffff"/>
        </w:rPr>
        <w:t xml:space="preserve">, электронный адрес сайта в информационно-телекоммуникационной сети Интернет </w:t>
      </w:r>
      <w:hyperlink r:id="rId10" w:tooltip="http://www.rts-tender.ru/" w:history="1"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  <w:lang w:val="en-US"/>
          </w:rPr>
          <w:t xml:space="preserve">www</w:t>
        </w:r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</w:rPr>
          <w:t xml:space="preserve">. </w:t>
        </w:r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  <w:lang w:val="en-US"/>
          </w:rPr>
          <w:t xml:space="preserve">i</w:t>
        </w:r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</w:rPr>
          <w:t xml:space="preserve">.</w:t>
        </w:r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  <w:lang w:val="en-US"/>
          </w:rPr>
          <w:t xml:space="preserve">rts</w:t>
        </w:r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</w:rPr>
          <w:t xml:space="preserve">-</w:t>
        </w:r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  <w:lang w:val="en-US"/>
          </w:rPr>
          <w:t xml:space="preserve">tender</w:t>
        </w:r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</w:rPr>
          <w:t xml:space="preserve">.</w:t>
        </w:r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  <w:lang w:val="en-US"/>
          </w:rPr>
          <w:t xml:space="preserve">ru</w:t>
        </w:r>
      </w:hyperlink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 (ООО «РТС-тендер»)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shd w:val="clear" w:color="auto" w:fill="ffffff"/>
        </w:rPr>
        <w:t xml:space="preserve">, на котором размещается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shd w:val="clear" w:color="auto" w:fill="ffffff"/>
        </w:rPr>
        <w:t xml:space="preserve">информационное сообщение: информационное сообщение размещается на официальных сайтах торгов и на электронной площадке. С информационным сообщением можно ознакомиться с даты размещения информационного сообщения на официальных сайтах: на официальном сайте Ро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shd w:val="clear" w:color="auto" w:fill="ffffff"/>
        </w:rPr>
        <w:t xml:space="preserve">ссийской Федерации для размещения информации о проведении торгов, определенном Правительством Российской Федерации, а также на электронной площадке до даты окончания приема заявок на участие в продаже на официальных сайтах торгов и на электронной площадке.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shd w:val="clear" w:color="auto" w:fill="ffffff"/>
        </w:rPr>
        <w:t xml:space="preserve">7. 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shd w:val="clear" w:color="auto" w:fill="ffffff"/>
        </w:rPr>
        <w:t xml:space="preserve">Порядок внесения и возврата задатка, банковские реквизиты счета для перечисления задатка.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shd w:val="clear" w:color="auto" w:fill="ffffff"/>
        </w:rPr>
        <w:t xml:space="preserve">Порядок внесения задатка определяется регламентом работы электронной площадки Организатора www.rts-tender.ru.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Д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ля участия в аукционе в электронной форме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 установлено требование о внесении задатка. В целях исполнения данного требования Заявитель обеспечивает наличие денежных средств на счёте Оператора электронной площадки в размере, не менее суммы задатка, установленного в настоящей аукционной документации.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За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числение денежных средств на счёт Оператора электронной площадки производится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в срок до даты рассмотрения заявок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shd w:val="clear" w:color="auto" w:fill="ffffff"/>
        </w:rPr>
        <w:t xml:space="preserve"> (не позднее: 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none"/>
          <w:shd w:val="clear" w:color="auto" w:fill="ffffff"/>
        </w:rPr>
        <w:t xml:space="preserve">28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white"/>
          <w:shd w:val="clear" w:color="auto" w:fill="ffffff"/>
        </w:rPr>
        <w:t xml:space="preserve"> января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  <w:shd w:val="clear" w:color="auto" w:fill="ffffff"/>
        </w:rPr>
        <w:t xml:space="preserve"> 202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  <w:shd w:val="clear" w:color="auto" w:fill="ffffff"/>
        </w:rPr>
        <w:t xml:space="preserve">5 года 10 час. 00 мин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  <w:shd w:val="clear" w:color="auto" w:fill="ffffff"/>
        </w:rPr>
        <w:t xml:space="preserve"> время московское)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 в соответствии с Регламентом Оператора электронной площадки, размещенными на электронной площадке по следующим реквизитам: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Получатель платежа: ООО «РТС-тендер»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Банковские реквизиты: Филиал «Корпоративный» ПАО «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Совкомбанк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»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БИК 044525360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Расчётный счёт: 40702810512030016362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Корр. счёт 30101810445250000360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ИНН 7710357167 КПП 773001001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Назначение платежа: «Внесение гарантийного обеспечения по Соглашению о внесении гарантийного обеспечения, № аналитического счета, без НДС». 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Денежные средства, перечисленные в соответствии с Регламентом Оператора электронной площадки, размещенными на электронной площадке на счет Оператора электронной площадки, учитываются на счете Заявителя, открытом у Оператора электронной площадки.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Денежные средства в размере, равном задатку, блокируются Оператором электронной площадки на счете Заявителя в соответствии с Регл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аментом Оператора электронной площадки, размещенными на электронной площадке. Основанием для блокирования денежных средств является Заявка, направленная Оператору электронной площадки. Заблокированные на счете Заявителя денежные средства являются задатком.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Подача Заявки и блокирование задатка является заключением соглашения о задатке.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В случае если денежных средств на счете Заявителя недостаточно, Оператором электронной площадки Заявка не принимается.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Прекращение блокирования денежных средств на счете Заявителя в соответствии с Регламентом Оператора электронной площадки, размещенными на электронной площадке производится Оператором электронной площадки в следующем порядке: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-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для Заявителя, отозвавшего Заявку до окончания срока приема Заявок, - в течение 3 (трех) рабочих дней со дня поступления уведомления об отзыве Заявки в соответствии с Регламентом Оператора электронной площадки, размещенными на электронной площадке;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-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для Заявителя, не допущенного к участи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ю в аукционе в электронной форме, - в течение 3 (трех) рабочих дней со дня оформления Протокола рассмотрения заявок на участие в аукционе в электронной форме в соответствии с Регламентом Оператора электронной площадки, размещенными на электронной площадке;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-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для Участников, участвовавших в а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укционе в электронной форме, но не победивших в нем, - в течение 3 (трех) рабочих дней со дня подписания Протокола о результатах аукциона в электронной форме в соответствии с Регламентом Оператора электронной площадки, размещенными на электронной площадке.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Задаток Победителя аукциона в электронной форме, а также задаток иных лиц, с которым договор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купли продажи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 земельного участка заключается в соответствии с пунктами 13 и 14 статьи 39.12 Земельного кодекса Российской Федерации, засчитываются в счет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оплаты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 за земельный участок. Перечисление задатка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Продавцу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 в счет платы за земельный участок осуществляется Оператором электронной площадки в соответствии с Регламентом Оператора электронной площадки, размещенными на электронной площадке.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Задатки, внесенные указанными в настоящем пункте лицами, не заключившими в установленном в Извещении порядке договора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купли-продажи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 земельного участка вследствие уклонения от заключения указанного договора, не возвращаются.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Задатки лицам, участвовавшим в аукционе, но не победившим в нем, Оператор электронной площадки в течение трех рабочих дней со дня подписания протокола о результатах аукциона обязан возвратить.</w:t>
      </w:r>
      <w:r>
        <w:rPr>
          <w:rFonts w:ascii="Times New Roman" w:hAnsi="Times New Roman" w:cs="Times New Roman"/>
          <w:position w:val="0"/>
          <w:sz w:val="22"/>
          <w:szCs w:val="22"/>
          <w:highlight w:val="none"/>
        </w:rPr>
      </w:r>
      <w:r>
        <w:rPr>
          <w:rFonts w:ascii="Times New Roman" w:hAnsi="Times New Roman" w:cs="Times New Roman"/>
          <w:position w:val="0"/>
          <w:sz w:val="22"/>
          <w:szCs w:val="22"/>
          <w:highlight w:val="none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8. Осмотр земельного участка осуществляется претендентами самостоятельно по месту нахождения участка.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9. Вз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имание оператором электронной площадки с победителя электронного аукциона или иных лиц, с которыми в соответствии с пунктами 13, 14, 20 и 25 статьи 39.12 Земельного кодекса Российской Федерации (далее – Кодекс) заключается договор купли-продажи земельного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участка, находящегося в государственной или муниципальной собственности, либо договор аренды такого участка, платы за участие в электронном аукционе производится в соответствии с регламентом и иными регулирующими документами оператора электронной площадки </w:t>
      </w:r>
      <w:hyperlink r:id="rId11" w:tooltip="https://www.rts-tender.ru/" w:history="1"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</w:rPr>
          <w:t xml:space="preserve">https://www.rts-tender.ru/</w:t>
        </w:r>
      </w:hyperlink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(ООО «РТС-тендер») во вкладке ТАРИФЫ/ИМУЩЕСТВЕННЫЕ ТОРГИ.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10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</w:rPr>
        <w:t xml:space="preserve">.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</w:rPr>
        <w:t xml:space="preserve">М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</w:rPr>
        <w:t xml:space="preserve">есто, дата, время и порядок определения участников аукциона: 28 января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</w:rPr>
        <w:t xml:space="preserve"> 202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</w:rPr>
        <w:t xml:space="preserve">5 года в 10 час. 00 мин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. На электронной площадке </w:t>
      </w:r>
      <w:hyperlink r:id="rId12" w:tooltip="http://www.rts-tender.ru/" w:history="1"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  <w:highlight w:val="white"/>
          </w:rPr>
          <w:t xml:space="preserve">www.rts-tend</w:t>
        </w:r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  <w:highlight w:val="white"/>
          </w:rPr>
          <w:t xml:space="preserve">er.ru</w:t>
        </w:r>
      </w:hyperlink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(ООО «РТС-тендер»).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Организатор рассматривает заявки и документы заявителей (претендентов) и устанавливает факт поступления на счёт установленных сумм задатков.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Определение участников аукциона проводится без участия заявителей (претендентов). 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По результатам рассмотрения заявок и документов организатор принимает решение о признании заявителей участниками аукциона.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Заявитель, допущенный к участию в аукционе, приобретает статус участника аукциона с момента оформления организатором протокола рассмотрения заявок на участие в аукционе.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11. 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white"/>
        </w:rPr>
        <w:t xml:space="preserve">Дата, место, время и порядок проведения аукциона: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white"/>
        </w:rPr>
        <w:t xml:space="preserve">30 января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white"/>
        </w:rPr>
        <w:t xml:space="preserve">202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white"/>
        </w:rPr>
        <w:t xml:space="preserve">5 года в 10 час. 00 мин.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на электронной площадке </w:t>
      </w:r>
      <w:hyperlink r:id="rId13" w:tooltip="https://www.rts-tender.ru/" w:history="1">
        <w:r>
          <w:rPr>
            <w:rFonts w:ascii="Times New Roman" w:hAnsi="Times New Roman" w:eastAsia="Times New Roman" w:cs="Times New Roman"/>
            <w:color w:val="0000ff"/>
            <w:position w:val="0"/>
            <w:sz w:val="22"/>
            <w:szCs w:val="22"/>
            <w:highlight w:val="white"/>
            <w:u w:val="single"/>
          </w:rPr>
          <w:t xml:space="preserve">https://www.rts-tender</w:t>
        </w:r>
        <w:r>
          <w:rPr>
            <w:rFonts w:ascii="Times New Roman" w:hAnsi="Times New Roman" w:eastAsia="Times New Roman" w:cs="Times New Roman"/>
            <w:color w:val="0000ff"/>
            <w:position w:val="0"/>
            <w:sz w:val="22"/>
            <w:szCs w:val="22"/>
            <w:highlight w:val="white"/>
            <w:u w:val="single"/>
          </w:rPr>
          <w:t xml:space="preserve">.ru/</w:t>
        </w:r>
      </w:hyperlink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(ООО «РТС-тендер») в соответствии с регламентом электронной площадки.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12. Победителем признается участник, предложивший в ходе аукциона наибольшую цену.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13. Задаток, внесённый лицом, признанным победителем аукциона, или иным лицом, с которым заключается договор аренды земельного участка, засчитывается в оплату приобретаемого земельного участка.   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14. Организатор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не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(Приложение 2).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15. Уполномоченный орган в течение пяти дней со дня истечения срока, пред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усмотренного пункт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ом 14, направляет победителю электронного аукциона или иным лицам, с которыми в соответствии с пунктами 13, 14, 20 и 25 статьи 39.12 Кодекса заключается договор аренды земельного участка, подписанный проект договора аренды такого участка.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вора.</w:t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Победитель аукциона в электронной форме или иное лицо, с которым заключается договор аренды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 земельного участка в соответствии с Кодексом, обязаны подписать договор в течение 30 (тридцати) дней со дня направления им такого договора.</w:t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Если договор в течение 30 (тридцати) дней со дня направления проекта договора Победителю аукциона в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электронной форме не был им подписан и представлен продавцу, продавец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 в электронной форме.</w:t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В случае, если Победитель аукциона в электронной форме или иное лицо, с которым заключается договор в соответствии с пунктами Извещения, в течение 30 (тридца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ти) дней со дня направления продавцом проекта указанного договора не подписал и не представил продавцу указанный договор, продавец направляет сведения в Федеральную антимонопольную службу России для включения в реестр недобросовестных участников аукциона. </w:t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В случае, если в течение 30 (тридцати) дней со дня направления Участнику, который сделал предпоследнее предложение о цене Предмета аукциона, этот Участник не представил продавцу подписанный со своей стороны указанный договор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,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 продавец вправе объявить о проведении повторного аукциона в электронной форме или распорядиться земельным участком иным образом в соответствии с Земельным кодексом Российской Федерации.</w:t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16. Организатор торгов в течении трёх рабочих дней со дня подписания протокола о результатах торгов возвращает задатки лицам, участвовавшим в аукционе, но не победивш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им </w:t>
      </w:r>
      <w:bookmarkStart w:id="0" w:name="_GoBack"/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в нем.   </w:t>
      </w:r>
      <w:bookmarkEnd w:id="0"/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</w:p>
    <w:p>
      <w:pPr>
        <w:ind w:firstLine="709"/>
        <w:jc w:val="both"/>
        <w:rPr>
          <w:rFonts w:ascii="Times New Roman" w:hAnsi="Times New Roman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17.</w:t>
      </w:r>
      <w:r>
        <w:rPr>
          <w:rFonts w:ascii="Times New Roman" w:hAnsi="Times New Roman"/>
          <w:sz w:val="22"/>
          <w:szCs w:val="22"/>
        </w:rPr>
        <w:t xml:space="preserve">Организатор </w:t>
      </w:r>
      <w:r>
        <w:rPr>
          <w:rFonts w:ascii="Times New Roman" w:hAnsi="Times New Roman"/>
          <w:sz w:val="22"/>
          <w:szCs w:val="22"/>
        </w:rPr>
        <w:t xml:space="preserve">аукциона вправе отказаться от процедуры проведения аукциона в соответствии с пунктом 4 статьи 448 Гражданского кодекса Российской Федерации. </w:t>
      </w:r>
      <w:r>
        <w:rPr>
          <w:rFonts w:ascii="Times New Roman" w:hAnsi="Times New Roman"/>
          <w14:ligatures w14:val="none"/>
        </w:rPr>
      </w:r>
      <w:r>
        <w:rPr>
          <w:rFonts w:ascii="Times New Roman" w:hAnsi="Times New Roman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</w:rPr>
        <w:t xml:space="preserve">В течение трех дней со дня принятия решения об отказе в проведении аукциона организатор аукциона обязан известить участников аукциона об отказе в проведе</w:t>
      </w:r>
      <w:r>
        <w:rPr>
          <w:rFonts w:ascii="Times New Roman" w:hAnsi="Times New Roman"/>
          <w:sz w:val="22"/>
          <w:szCs w:val="22"/>
        </w:rPr>
        <w:t xml:space="preserve">нии </w:t>
      </w:r>
      <w:r>
        <w:rPr>
          <w:rFonts w:ascii="Times New Roman" w:hAnsi="Times New Roman"/>
          <w:sz w:val="22"/>
          <w:szCs w:val="22"/>
        </w:rPr>
        <w:t xml:space="preserve">аукциона и возвратить его участникам внесенные задатки.</w:t>
      </w:r>
      <w:r>
        <w:rPr>
          <w:rFonts w:ascii="Times New Roman" w:hAnsi="Times New Roman"/>
          <w:sz w:val="22"/>
          <w:szCs w:val="22"/>
          <w14:ligatures w14:val="none"/>
        </w:rPr>
      </w:r>
      <w:r>
        <w:rPr>
          <w:rFonts w:ascii="Times New Roman" w:hAnsi="Times New Roman"/>
          <w:sz w:val="22"/>
          <w:szCs w:val="22"/>
          <w14:ligatures w14:val="none"/>
        </w:rPr>
      </w:r>
    </w:p>
    <w:p>
      <w:pPr>
        <w:ind w:firstLine="709"/>
        <w:jc w:val="both"/>
        <w:rPr>
          <w:highlight w:val="none"/>
          <w14:ligatures w14:val="none"/>
        </w:rPr>
      </w:pPr>
      <w:r>
        <w:br w:type="page" w:clear="all"/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pStyle w:val="751"/>
        <w:ind w:firstLine="709"/>
        <w:jc w:val="right"/>
        <w:widowControl w:val="off"/>
      </w:pPr>
      <w:r>
        <w:rPr>
          <w:sz w:val="20"/>
          <w:szCs w:val="20"/>
        </w:rPr>
        <w:t xml:space="preserve">Приложение 1</w:t>
      </w:r>
      <w:r>
        <w:rPr>
          <w:sz w:val="20"/>
          <w:szCs w:val="20"/>
        </w:rPr>
      </w:r>
      <w:r/>
    </w:p>
    <w:p>
      <w:pPr>
        <w:pStyle w:val="751"/>
        <w:ind w:firstLine="851"/>
        <w:jc w:val="both"/>
        <w:widowControl w:val="off"/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pStyle w:val="751"/>
        <w:jc w:val="center"/>
      </w:pPr>
      <w:r>
        <w:rPr>
          <w:b/>
          <w:lang w:eastAsia="zh-CN"/>
        </w:rPr>
        <w:t xml:space="preserve">ФОРМА</w:t>
      </w:r>
      <w:r>
        <w:rPr>
          <w:b/>
          <w:sz w:val="20"/>
          <w:szCs w:val="20"/>
          <w:lang w:eastAsia="zh-CN"/>
        </w:rPr>
        <w:t xml:space="preserve"> </w:t>
      </w:r>
      <w:r>
        <w:rPr>
          <w:b/>
          <w:lang w:eastAsia="zh-CN"/>
        </w:rPr>
        <w:t xml:space="preserve">ЗАЯВКИ </w:t>
      </w:r>
      <w:r>
        <w:rPr>
          <w:b/>
          <w:sz w:val="22"/>
          <w:szCs w:val="22"/>
          <w:lang w:eastAsia="zh-CN"/>
        </w:rPr>
        <w:t xml:space="preserve">НА УЧАСТИЕ В АУКЦИОНЕ В ЭЛЕКТРОННОЙ ФОРМЕ</w:t>
      </w:r>
      <w:r>
        <w:rPr>
          <w:b/>
          <w:sz w:val="22"/>
          <w:szCs w:val="22"/>
          <w:lang w:eastAsia="zh-CN"/>
        </w:rPr>
      </w:r>
      <w:r/>
    </w:p>
    <w:p>
      <w:pPr>
        <w:pStyle w:val="751"/>
      </w:pPr>
      <w:r>
        <w:rPr>
          <w:b/>
          <w:sz w:val="2"/>
          <w:szCs w:val="10"/>
          <w:lang w:eastAsia="zh-CN"/>
        </w:rPr>
      </w:r>
      <w:r>
        <w:rPr>
          <w:b/>
          <w:sz w:val="2"/>
          <w:szCs w:val="10"/>
          <w:lang w:eastAsia="zh-CN"/>
        </w:rPr>
      </w:r>
      <w:r/>
    </w:p>
    <w:p>
      <w:pPr>
        <w:pStyle w:val="751"/>
      </w:pPr>
      <w:r>
        <w:rPr>
          <w:b/>
          <w:sz w:val="19"/>
          <w:szCs w:val="19"/>
          <w:lang w:eastAsia="zh-CN"/>
        </w:rPr>
        <w:t xml:space="preserve">В Управление имущественных и земельных отношений Администрации города Костромы</w:t>
      </w:r>
      <w:r>
        <w:rPr>
          <w:b/>
          <w:sz w:val="19"/>
          <w:szCs w:val="19"/>
          <w:lang w:eastAsia="zh-CN"/>
        </w:rPr>
      </w:r>
      <w:r/>
    </w:p>
    <w:p>
      <w:pPr>
        <w:pStyle w:val="751"/>
      </w:pPr>
      <w:r>
        <w:rPr>
          <w:b/>
          <w:sz w:val="19"/>
          <w:szCs w:val="19"/>
          <w:lang w:eastAsia="zh-CN"/>
        </w:rPr>
        <w:t xml:space="preserve">Заявитель</w:t>
      </w:r>
      <w:r>
        <w:rPr>
          <w:sz w:val="19"/>
          <w:szCs w:val="19"/>
          <w:lang w:eastAsia="zh-CN"/>
        </w:rPr>
        <w:t xml:space="preserve"> </w:t>
      </w:r>
      <w:r>
        <w:rPr>
          <w:sz w:val="19"/>
          <w:szCs w:val="19"/>
          <w:lang w:eastAsia="zh-CN"/>
        </w:rPr>
      </w:r>
      <w:r/>
    </w:p>
    <w:p>
      <w:pPr>
        <w:pStyle w:val="751"/>
        <w:pBdr>
          <w:bottom w:val="single" w:color="000000" w:sz="4" w:space="0"/>
        </w:pBdr>
      </w:pPr>
      <w:r>
        <w:rPr>
          <w:sz w:val="19"/>
          <w:szCs w:val="19"/>
          <w:lang w:eastAsia="zh-CN"/>
        </w:rPr>
      </w:r>
      <w:r>
        <w:rPr>
          <w:sz w:val="19"/>
          <w:szCs w:val="19"/>
          <w:lang w:eastAsia="zh-CN"/>
        </w:rPr>
      </w:r>
      <w:r/>
    </w:p>
    <w:p>
      <w:pPr>
        <w:pStyle w:val="751"/>
        <w:jc w:val="center"/>
      </w:pPr>
      <w:r>
        <w:rPr>
          <w:sz w:val="18"/>
          <w:szCs w:val="18"/>
          <w:lang w:eastAsia="zh-CN"/>
        </w:rPr>
        <w:t xml:space="preserve">           </w:t>
      </w:r>
      <w:r>
        <w:rPr>
          <w:sz w:val="16"/>
          <w:szCs w:val="18"/>
          <w:lang w:eastAsia="zh-CN"/>
        </w:rPr>
        <w:t xml:space="preserve">(</w:t>
      </w:r>
      <w:r>
        <w:rPr>
          <w:bCs/>
          <w:sz w:val="16"/>
          <w:szCs w:val="18"/>
          <w:lang w:eastAsia="zh-CN"/>
        </w:rPr>
        <w:t xml:space="preserve">Ф.И.О., гражданина,  индивидуального предпринимателя,</w:t>
      </w:r>
      <w:r>
        <w:rPr>
          <w:bCs/>
          <w:sz w:val="16"/>
          <w:szCs w:val="18"/>
          <w:lang w:eastAsia="zh-CN"/>
        </w:rPr>
        <w:br/>
      </w:r>
      <w:r>
        <w:rPr>
          <w:bCs/>
          <w:sz w:val="16"/>
          <w:szCs w:val="18"/>
          <w:lang w:eastAsia="zh-CN"/>
        </w:rPr>
        <w:t xml:space="preserve">наименование юридического лица с указанием организационно-правовой формы</w:t>
      </w:r>
      <w:r>
        <w:rPr>
          <w:sz w:val="16"/>
          <w:szCs w:val="18"/>
          <w:lang w:eastAsia="zh-CN"/>
        </w:rPr>
        <w:t xml:space="preserve">)</w:t>
      </w:r>
      <w:r>
        <w:rPr>
          <w:sz w:val="18"/>
          <w:szCs w:val="18"/>
          <w:lang w:eastAsia="zh-CN"/>
        </w:rPr>
      </w:r>
      <w:r/>
    </w:p>
    <w:p>
      <w:pPr>
        <w:pStyle w:val="751"/>
        <w:jc w:val="both"/>
        <w:pBdr>
          <w:bottom w:val="single" w:color="000000" w:sz="4" w:space="0"/>
        </w:pBdr>
      </w:pPr>
      <w:r>
        <w:rPr>
          <w:b/>
          <w:sz w:val="19"/>
          <w:szCs w:val="19"/>
          <w:lang w:eastAsia="zh-CN"/>
        </w:rPr>
        <w:t xml:space="preserve">в лице</w:t>
      </w:r>
      <w:r>
        <w:rPr>
          <w:sz w:val="19"/>
          <w:szCs w:val="19"/>
          <w:lang w:eastAsia="zh-CN"/>
        </w:rPr>
        <w:t xml:space="preserve"> </w:t>
        <w:tab/>
        <w:t xml:space="preserve"> </w:t>
      </w:r>
      <w:r>
        <w:rPr>
          <w:sz w:val="19"/>
          <w:szCs w:val="19"/>
          <w:lang w:eastAsia="zh-CN"/>
        </w:rPr>
      </w:r>
      <w:r/>
    </w:p>
    <w:p>
      <w:pPr>
        <w:pStyle w:val="751"/>
        <w:jc w:val="center"/>
      </w:pPr>
      <w:r>
        <w:rPr>
          <w:sz w:val="16"/>
          <w:szCs w:val="18"/>
          <w:lang w:eastAsia="zh-CN"/>
        </w:rPr>
        <w:t xml:space="preserve">(</w:t>
      </w:r>
      <w:r>
        <w:rPr>
          <w:bCs/>
          <w:sz w:val="16"/>
          <w:szCs w:val="18"/>
          <w:lang w:eastAsia="zh-CN"/>
        </w:rPr>
        <w:t xml:space="preserve">Ф.И.О. руководителя юридического лица или уполномоченного лица, лица действующего на основании доверенности</w:t>
      </w:r>
      <w:r>
        <w:rPr>
          <w:sz w:val="16"/>
          <w:szCs w:val="18"/>
          <w:lang w:eastAsia="zh-CN"/>
        </w:rPr>
        <w:t xml:space="preserve">)</w:t>
      </w:r>
      <w:r>
        <w:rPr>
          <w:sz w:val="18"/>
          <w:szCs w:val="18"/>
          <w:lang w:eastAsia="zh-CN"/>
        </w:rPr>
      </w:r>
      <w:r/>
    </w:p>
    <w:p>
      <w:pPr>
        <w:pStyle w:val="751"/>
        <w:jc w:val="both"/>
        <w:pBdr>
          <w:bottom w:val="single" w:color="000000" w:sz="4" w:space="0"/>
        </w:pBdr>
      </w:pPr>
      <w:r>
        <w:rPr>
          <w:b/>
          <w:bCs/>
          <w:sz w:val="19"/>
          <w:szCs w:val="19"/>
          <w:lang w:eastAsia="zh-CN"/>
        </w:rPr>
        <w:t xml:space="preserve">действующего на основании</w:t>
      </w:r>
      <w:r>
        <w:rPr>
          <w:rStyle w:val="788"/>
          <w:b/>
          <w:bCs/>
          <w:sz w:val="19"/>
          <w:szCs w:val="19"/>
          <w:vertAlign w:val="superscript"/>
          <w:lang w:eastAsia="zh-CN"/>
        </w:rPr>
        <w:footnoteReference w:id="2"/>
      </w:r>
      <w:r>
        <w:rPr>
          <w:b/>
          <w:bCs/>
          <w:sz w:val="19"/>
          <w:szCs w:val="19"/>
          <w:lang w:eastAsia="zh-CN"/>
        </w:rPr>
        <w:t xml:space="preserve"> </w:t>
      </w:r>
      <w:r>
        <w:rPr>
          <w:b/>
          <w:bCs/>
          <w:sz w:val="19"/>
          <w:szCs w:val="19"/>
          <w:lang w:eastAsia="zh-CN"/>
        </w:rPr>
      </w:r>
      <w:r/>
    </w:p>
    <w:p>
      <w:pPr>
        <w:pStyle w:val="751"/>
        <w:jc w:val="center"/>
      </w:pPr>
      <w:r>
        <w:rPr>
          <w:sz w:val="18"/>
          <w:szCs w:val="20"/>
          <w:lang w:eastAsia="zh-CN"/>
        </w:rPr>
        <w:t xml:space="preserve">(</w:t>
      </w:r>
      <w:r>
        <w:rPr>
          <w:sz w:val="16"/>
          <w:szCs w:val="18"/>
          <w:lang w:eastAsia="zh-CN"/>
        </w:rPr>
        <w:t xml:space="preserve">Устав, Положение, Соглашение, Доверенности и т.д</w:t>
      </w:r>
      <w:r>
        <w:rPr>
          <w:sz w:val="18"/>
          <w:szCs w:val="20"/>
          <w:lang w:eastAsia="zh-CN"/>
        </w:rPr>
        <w:t xml:space="preserve">.)</w:t>
      </w:r>
      <w:r>
        <w:rPr>
          <w:b/>
          <w:lang w:eastAsia="zh-CN"/>
        </w:rPr>
      </w:r>
      <w:r/>
    </w:p>
    <w:tbl>
      <w:tblPr>
        <w:tblW w:w="10496" w:type="dxa"/>
        <w:tblInd w:w="-76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00" w:firstRow="0" w:lastRow="0" w:firstColumn="0" w:lastColumn="0" w:noHBand="0" w:noVBand="0"/>
      </w:tblPr>
      <w:tblGrid>
        <w:gridCol w:w="10496"/>
      </w:tblGrid>
      <w:tr>
        <w:tblPrEx/>
        <w:trPr>
          <w:trHeight w:val="1124"/>
        </w:trPr>
        <w:tc>
          <w:tcPr>
            <w:shd w:val="clear" w:color="ffffff" w:fill="ffffff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W w:w="10496" w:type="dxa"/>
            <w:vAlign w:val="center"/>
            <w:textDirection w:val="lrTb"/>
            <w:noWrap w:val="false"/>
          </w:tcPr>
          <w:p>
            <w:pPr>
              <w:pStyle w:val="751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Паспортные данные Заявителя: серия                                                   №                                                                                         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1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дата выдачи</w:t>
            </w:r>
            <w:r>
              <w:rPr>
                <w:sz w:val="18"/>
                <w:szCs w:val="18"/>
                <w:lang w:eastAsia="zh-CN"/>
              </w:rPr>
              <w:t xml:space="preserve">_______________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1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кем выдан: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1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Адрес: 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1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Контактный телефон:  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1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ОГРНИП (для индивидуального предпринимателя): №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1"/>
              <w:jc w:val="both"/>
              <w:widowControl w:val="off"/>
              <w:rPr>
                <w:lang w:eastAsia="zh-CN"/>
              </w:rPr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ИНН                                       КПП                                          ОГРН                        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179"/>
        </w:trPr>
        <w:tc>
          <w:tcPr>
            <w:shd w:val="clear" w:color="ffffff" w:fill="ffffff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W w:w="10496" w:type="dxa"/>
            <w:textDirection w:val="lrTb"/>
            <w:noWrap w:val="false"/>
          </w:tcPr>
          <w:p>
            <w:pPr>
              <w:pStyle w:val="751"/>
              <w:widowControl w:val="off"/>
              <w:pBdr>
                <w:bottom w:val="single" w:color="000000" w:sz="4" w:space="0"/>
              </w:pBdr>
            </w:pPr>
            <w:r>
              <w:rPr>
                <w:b/>
                <w:sz w:val="18"/>
                <w:szCs w:val="18"/>
                <w:lang w:eastAsia="zh-CN"/>
              </w:rPr>
              <w:t xml:space="preserve">Представитель Заявителя</w:t>
            </w:r>
            <w:r>
              <w:rPr>
                <w:rStyle w:val="788"/>
                <w:b/>
                <w:sz w:val="18"/>
                <w:szCs w:val="18"/>
                <w:vertAlign w:val="superscript"/>
                <w:lang w:eastAsia="zh-CN"/>
              </w:rPr>
              <w:footnoteReference w:id="3"/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</w:r>
            <w:r/>
          </w:p>
          <w:p>
            <w:pPr>
              <w:pStyle w:val="751"/>
              <w:jc w:val="center"/>
              <w:widowControl w:val="off"/>
            </w:pPr>
            <w:r>
              <w:rPr>
                <w:b/>
                <w:sz w:val="16"/>
                <w:szCs w:val="18"/>
                <w:lang w:eastAsia="zh-CN"/>
              </w:rPr>
              <w:t xml:space="preserve">(Ф.И.О,)</w:t>
            </w:r>
            <w:r>
              <w:rPr>
                <w:b/>
                <w:sz w:val="16"/>
                <w:szCs w:val="18"/>
                <w:lang w:eastAsia="zh-CN"/>
              </w:rPr>
            </w:r>
            <w:r/>
          </w:p>
          <w:p>
            <w:pPr>
              <w:pStyle w:val="751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Паспортные данные представителя: серия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1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дата выдачи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1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кем выдан:   </w:t>
            </w:r>
            <w:r>
              <w:fldChar w:fldCharType="begin"/>
            </w:r>
            <w:r>
              <w:rPr>
                <w:sz w:val="18"/>
                <w:szCs w:val="18"/>
                <w:u w:val="single"/>
                <w:lang w:eastAsia="zh-CN"/>
              </w:rPr>
              <w:instrText xml:space="preserve">RepresentativePassportIssuer</w:instrText>
            </w:r>
            <w:r>
              <w:rPr>
                <w:sz w:val="18"/>
                <w:szCs w:val="18"/>
                <w:u w:val="single"/>
                <w:lang w:eastAsia="zh-CN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  <w:lang w:eastAsia="zh-CN"/>
              </w:rPr>
              <w:t xml:space="preserve">  </w:t>
            </w:r>
            <w:r>
              <w:rPr>
                <w:sz w:val="18"/>
                <w:szCs w:val="18"/>
                <w:u w:val="single"/>
                <w:lang w:eastAsia="zh-CN"/>
              </w:rPr>
              <w:fldChar w:fldCharType="end"/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1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Адрес:  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1"/>
              <w:jc w:val="both"/>
              <w:widowControl w:val="off"/>
              <w:rPr>
                <w:rFonts w:eastAsia="Calibri"/>
                <w:b/>
                <w:bCs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Контактный телефон:   </w:t>
            </w:r>
            <w:r>
              <w:fldChar w:fldCharType="begin"/>
            </w:r>
            <w:r>
              <w:rPr>
                <w:sz w:val="18"/>
                <w:szCs w:val="18"/>
                <w:u w:val="single"/>
                <w:lang w:eastAsia="zh-CN"/>
              </w:rPr>
              <w:instrText xml:space="preserve">RepresentativePhoneNumber</w:instrText>
            </w:r>
            <w:r>
              <w:rPr>
                <w:sz w:val="18"/>
                <w:szCs w:val="18"/>
                <w:u w:val="single"/>
                <w:lang w:eastAsia="zh-CN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  <w:lang w:eastAsia="zh-CN"/>
              </w:rPr>
              <w:t xml:space="preserve"> </w:t>
            </w:r>
            <w:r>
              <w:rPr>
                <w:sz w:val="18"/>
                <w:szCs w:val="18"/>
                <w:u w:val="single"/>
                <w:lang w:eastAsia="zh-CN"/>
              </w:rPr>
              <w:fldChar w:fldCharType="end"/>
            </w:r>
            <w:r>
              <w:rPr>
                <w:rFonts w:eastAsia="Calibri"/>
                <w:b/>
                <w:bCs/>
                <w:sz w:val="18"/>
                <w:szCs w:val="18"/>
                <w:lang w:eastAsia="zh-CN"/>
              </w:rPr>
            </w:r>
            <w:r>
              <w:rPr>
                <w:rFonts w:eastAsia="Calibri"/>
                <w:b/>
                <w:bCs/>
                <w:sz w:val="18"/>
                <w:szCs w:val="18"/>
                <w:lang w:eastAsia="zh-CN"/>
              </w:rPr>
            </w:r>
          </w:p>
        </w:tc>
      </w:tr>
    </w:tbl>
    <w:p>
      <w:pPr>
        <w:pStyle w:val="751"/>
        <w:ind w:hanging="1"/>
        <w:jc w:val="both"/>
        <w:widowControl w:val="off"/>
      </w:pPr>
      <w:r>
        <w:rPr>
          <w:sz w:val="18"/>
          <w:szCs w:val="18"/>
          <w:lang w:eastAsia="zh-CN"/>
        </w:rPr>
      </w:r>
      <w:r>
        <w:rPr>
          <w:b/>
          <w:sz w:val="18"/>
          <w:szCs w:val="18"/>
          <w:lang w:eastAsia="zh-CN"/>
        </w:rPr>
        <w:t xml:space="preserve">принял решение об участии в аукционе на право заключения договора аренды земельного участка </w:t>
      </w:r>
      <w:r>
        <w:rPr>
          <w:b/>
          <w:sz w:val="18"/>
          <w:szCs w:val="18"/>
          <w:lang w:eastAsia="zh-CN"/>
        </w:rPr>
        <w:t xml:space="preserve">с кадастровым номером:_______________________________________, расположенного по адресу (местоположение): ___________________________________________________________________________, в электронной форме, и обязуется обеспечить поступление задатка в размере</w:t>
      </w:r>
      <w:r>
        <w:rPr>
          <w:sz w:val="18"/>
          <w:szCs w:val="18"/>
          <w:u w:val="single"/>
          <w:lang w:eastAsia="zh-CN"/>
        </w:rPr>
        <w:t xml:space="preserve">                                                                            </w:t>
      </w:r>
      <w:r>
        <w:rPr>
          <w:b/>
          <w:sz w:val="18"/>
          <w:szCs w:val="18"/>
          <w:lang w:eastAsia="zh-CN"/>
        </w:rPr>
        <w:t xml:space="preserve">руб.</w:t>
      </w:r>
      <w:r>
        <w:rPr>
          <w:sz w:val="18"/>
          <w:szCs w:val="18"/>
          <w:u w:val="single"/>
          <w:lang w:eastAsia="zh-CN"/>
        </w:rPr>
        <w:t xml:space="preserve">            (сумма прописью)</w:t>
      </w:r>
      <w:r>
        <w:rPr>
          <w:sz w:val="18"/>
          <w:szCs w:val="18"/>
          <w:lang w:eastAsia="zh-CN"/>
        </w:rPr>
        <w:t xml:space="preserve">, </w:t>
      </w:r>
      <w:r>
        <w:rPr>
          <w:b/>
          <w:sz w:val="18"/>
          <w:szCs w:val="18"/>
          <w:lang w:eastAsia="zh-CN"/>
        </w:rPr>
        <w:t xml:space="preserve">в сроки и в порядке, установленные в Извещении о проведении аукциона в электронной форме, и в соответствии с Регламентом Оператора электронной площадки.</w:t>
      </w:r>
      <w:r>
        <w:rPr>
          <w:b/>
          <w:sz w:val="18"/>
          <w:szCs w:val="18"/>
          <w:lang w:eastAsia="zh-CN"/>
        </w:rPr>
      </w:r>
      <w:r/>
    </w:p>
    <w:p>
      <w:pPr>
        <w:pStyle w:val="751"/>
        <w:ind w:firstLine="142"/>
        <w:jc w:val="both"/>
        <w:widowControl w:val="off"/>
      </w:pPr>
      <w:r>
        <w:rPr>
          <w:sz w:val="18"/>
          <w:szCs w:val="18"/>
        </w:rPr>
      </w:r>
      <w:r>
        <w:rPr>
          <w:sz w:val="18"/>
          <w:szCs w:val="18"/>
        </w:rPr>
      </w:r>
      <w:r/>
    </w:p>
    <w:p>
      <w:pPr>
        <w:pStyle w:val="751"/>
        <w:ind w:firstLine="142"/>
        <w:jc w:val="both"/>
        <w:widowControl w:val="off"/>
      </w:pPr>
      <w:r>
        <w:rPr>
          <w:b/>
          <w:sz w:val="18"/>
          <w:szCs w:val="18"/>
        </w:rPr>
        <w:t xml:space="preserve">Банковские реквизиты для возврата задатка:</w:t>
      </w:r>
      <w:r>
        <w:rPr>
          <w:b/>
          <w:sz w:val="18"/>
          <w:szCs w:val="18"/>
        </w:rPr>
      </w:r>
      <w:r/>
    </w:p>
    <w:p>
      <w:pPr>
        <w:pStyle w:val="751"/>
        <w:ind w:firstLine="142"/>
        <w:jc w:val="both"/>
        <w:widowControl w:val="off"/>
      </w:pPr>
      <w:r>
        <w:rPr>
          <w:sz w:val="18"/>
          <w:szCs w:val="18"/>
        </w:rPr>
        <w:t xml:space="preserve">Банк ______________________________________________________________________________________________</w:t>
      </w:r>
      <w:r>
        <w:rPr>
          <w:sz w:val="18"/>
          <w:szCs w:val="18"/>
        </w:rPr>
      </w:r>
      <w:r/>
    </w:p>
    <w:p>
      <w:pPr>
        <w:pStyle w:val="751"/>
        <w:ind w:firstLine="142"/>
        <w:jc w:val="both"/>
        <w:widowControl w:val="off"/>
      </w:pPr>
      <w:r>
        <w:rPr>
          <w:sz w:val="18"/>
          <w:szCs w:val="18"/>
        </w:rPr>
        <w:t xml:space="preserve">Расчётный счёт _______________________________ Корреспондентский счёт _______________________________</w:t>
      </w:r>
      <w:r>
        <w:rPr>
          <w:sz w:val="18"/>
          <w:szCs w:val="18"/>
        </w:rPr>
      </w:r>
      <w:r/>
    </w:p>
    <w:p>
      <w:pPr>
        <w:pStyle w:val="751"/>
        <w:ind w:firstLine="142"/>
        <w:jc w:val="both"/>
        <w:widowControl w:val="off"/>
      </w:pPr>
      <w:r>
        <w:rPr>
          <w:sz w:val="18"/>
          <w:szCs w:val="18"/>
        </w:rPr>
        <w:t xml:space="preserve">БИК_________________________________________ Лицевой счёт _________________________________________</w:t>
      </w:r>
      <w:r>
        <w:rPr>
          <w:sz w:val="18"/>
          <w:szCs w:val="18"/>
        </w:rPr>
      </w:r>
      <w:r/>
    </w:p>
    <w:p>
      <w:pPr>
        <w:pStyle w:val="751"/>
        <w:ind w:firstLine="142"/>
        <w:jc w:val="both"/>
        <w:widowControl w:val="off"/>
      </w:pPr>
      <w:r>
        <w:rPr>
          <w:sz w:val="18"/>
          <w:szCs w:val="18"/>
        </w:rPr>
        <w:t xml:space="preserve">Ф. И. О. (наименование) получателя ___________________________________________________________________</w:t>
      </w:r>
      <w:r>
        <w:rPr>
          <w:sz w:val="18"/>
          <w:szCs w:val="18"/>
        </w:rPr>
      </w:r>
      <w:r/>
    </w:p>
    <w:p>
      <w:pPr>
        <w:pStyle w:val="751"/>
        <w:ind w:firstLine="142"/>
        <w:jc w:val="both"/>
        <w:widowControl w:val="off"/>
      </w:pPr>
      <w:r>
        <w:rPr>
          <w:b/>
          <w:sz w:val="18"/>
          <w:szCs w:val="18"/>
          <w:lang w:eastAsia="zh-CN"/>
        </w:rPr>
      </w:r>
      <w:r>
        <w:rPr>
          <w:b/>
          <w:sz w:val="18"/>
          <w:szCs w:val="18"/>
          <w:lang w:eastAsia="zh-CN"/>
        </w:rPr>
      </w:r>
      <w:r/>
    </w:p>
    <w:p>
      <w:pPr>
        <w:pStyle w:val="751"/>
        <w:numPr>
          <w:ilvl w:val="0"/>
          <w:numId w:val="12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Заявитель обязуется:</w:t>
      </w:r>
      <w:r>
        <w:rPr>
          <w:sz w:val="18"/>
          <w:szCs w:val="18"/>
          <w:lang w:eastAsia="zh-CN"/>
        </w:rPr>
      </w:r>
      <w:r/>
    </w:p>
    <w:p>
      <w:pPr>
        <w:pStyle w:val="751"/>
        <w:numPr>
          <w:ilvl w:val="1"/>
          <w:numId w:val="12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Соблюдать условия и порядок проведения аукциона в электронной форме, содержащиеся в Извещении о проведении аукциона в электронной форме и Регламенте Оператора электронной площадки.</w:t>
      </w:r>
      <w:r>
        <w:rPr>
          <w:rStyle w:val="788"/>
          <w:sz w:val="18"/>
          <w:szCs w:val="18"/>
          <w:vertAlign w:val="superscript"/>
          <w:lang w:eastAsia="zh-CN"/>
        </w:rPr>
        <w:footnoteReference w:id="4"/>
      </w:r>
      <w:r>
        <w:rPr>
          <w:sz w:val="18"/>
          <w:szCs w:val="18"/>
          <w:lang w:eastAsia="zh-CN"/>
        </w:rPr>
      </w:r>
      <w:r/>
    </w:p>
    <w:p>
      <w:pPr>
        <w:pStyle w:val="751"/>
        <w:numPr>
          <w:ilvl w:val="1"/>
          <w:numId w:val="12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В случае признания Победителем аукциона в электронной форме, а также в иных случаях, предусмо</w:t>
      </w:r>
      <w:r>
        <w:rPr>
          <w:sz w:val="18"/>
          <w:szCs w:val="18"/>
          <w:lang w:eastAsia="zh-CN"/>
        </w:rPr>
        <w:t xml:space="preserve">тренных пунктами 13 и 14 статьи 39.12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проведении аукциона в электронной форме и договором.</w:t>
      </w:r>
      <w:r>
        <w:rPr>
          <w:sz w:val="18"/>
          <w:szCs w:val="18"/>
          <w:lang w:eastAsia="zh-CN"/>
        </w:rPr>
      </w:r>
      <w:r/>
    </w:p>
    <w:p>
      <w:pPr>
        <w:pStyle w:val="751"/>
        <w:numPr>
          <w:ilvl w:val="0"/>
          <w:numId w:val="12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Заявитель согласен и принимает все условия, требования, положения Извещени</w:t>
      </w:r>
      <w:r>
        <w:rPr>
          <w:sz w:val="18"/>
          <w:szCs w:val="18"/>
          <w:lang w:eastAsia="zh-CN"/>
        </w:rPr>
        <w:t xml:space="preserve">я о проведении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>
        <w:rPr>
          <w:b/>
          <w:sz w:val="18"/>
          <w:szCs w:val="18"/>
          <w:lang w:eastAsia="zh-CN"/>
        </w:rPr>
        <w:t xml:space="preserve">и не имеет претензий к ним</w:t>
      </w:r>
      <w:r>
        <w:rPr>
          <w:sz w:val="18"/>
          <w:szCs w:val="18"/>
          <w:lang w:eastAsia="zh-CN"/>
        </w:rPr>
        <w:t xml:space="preserve">.</w:t>
      </w:r>
      <w:r>
        <w:rPr>
          <w:sz w:val="18"/>
          <w:szCs w:val="18"/>
          <w:lang w:eastAsia="zh-CN"/>
        </w:rPr>
      </w:r>
      <w:r/>
    </w:p>
    <w:p>
      <w:pPr>
        <w:pStyle w:val="751"/>
        <w:numPr>
          <w:ilvl w:val="0"/>
          <w:numId w:val="12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  <w:r>
        <w:rPr>
          <w:sz w:val="18"/>
          <w:szCs w:val="18"/>
          <w:lang w:eastAsia="zh-CN"/>
        </w:rPr>
      </w:r>
      <w:r/>
    </w:p>
    <w:p>
      <w:pPr>
        <w:pStyle w:val="751"/>
        <w:numPr>
          <w:ilvl w:val="0"/>
          <w:numId w:val="12"/>
        </w:numPr>
        <w:ind w:left="142" w:hanging="142"/>
        <w:jc w:val="both"/>
        <w:tabs>
          <w:tab w:val="left" w:pos="142" w:leader="none"/>
          <w:tab w:val="clear" w:pos="708" w:leader="none"/>
        </w:tabs>
      </w:pPr>
      <w:r>
        <w:rPr>
          <w:sz w:val="18"/>
          <w:szCs w:val="18"/>
          <w:lang w:eastAsia="zh-CN"/>
        </w:rPr>
        <w:t xml:space="preserve">Ответственность за достоверность представленных документов и информации несет Заявитель. </w:t>
      </w:r>
      <w:r>
        <w:rPr>
          <w:sz w:val="18"/>
          <w:szCs w:val="18"/>
          <w:lang w:eastAsia="zh-CN"/>
        </w:rPr>
      </w:r>
      <w:r/>
    </w:p>
    <w:p>
      <w:pPr>
        <w:pStyle w:val="751"/>
        <w:numPr>
          <w:ilvl w:val="0"/>
          <w:numId w:val="12"/>
        </w:numPr>
        <w:ind w:left="142" w:hanging="142"/>
        <w:jc w:val="both"/>
        <w:tabs>
          <w:tab w:val="left" w:pos="142" w:leader="none"/>
          <w:tab w:val="clear" w:pos="708" w:leader="none"/>
        </w:tabs>
      </w:pPr>
      <w:r>
        <w:rPr>
          <w:sz w:val="18"/>
          <w:szCs w:val="18"/>
          <w:lang w:eastAsia="zh-CN"/>
        </w:rPr>
        <w:t xml:space="preserve"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  <w:r>
        <w:rPr>
          <w:sz w:val="18"/>
          <w:szCs w:val="18"/>
          <w:lang w:eastAsia="zh-CN"/>
        </w:rPr>
      </w:r>
      <w:r/>
    </w:p>
    <w:p>
      <w:pPr>
        <w:pStyle w:val="751"/>
        <w:numPr>
          <w:ilvl w:val="0"/>
          <w:numId w:val="12"/>
        </w:numPr>
        <w:ind w:left="142" w:hanging="142"/>
        <w:jc w:val="both"/>
        <w:tabs>
          <w:tab w:val="left" w:pos="142" w:leader="none"/>
          <w:tab w:val="clear" w:pos="708" w:leader="none"/>
        </w:tabs>
      </w:pPr>
      <w:r>
        <w:rPr>
          <w:sz w:val="18"/>
          <w:szCs w:val="18"/>
          <w:lang w:eastAsia="zh-CN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с частью 5 статьи 4</w:t>
      </w:r>
      <w:r>
        <w:rPr>
          <w:sz w:val="18"/>
          <w:szCs w:val="18"/>
          <w:lang w:eastAsia="zh-CN"/>
        </w:rPr>
        <w:t xml:space="preserve"> Федерального закона от 24.07.2007 № 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и среднего предпринимательства) </w:t>
      </w:r>
      <w:r>
        <w:rPr>
          <w:rStyle w:val="788"/>
          <w:sz w:val="17"/>
          <w:szCs w:val="17"/>
          <w:vertAlign w:val="superscript"/>
          <w:lang w:eastAsia="zh-CN"/>
        </w:rPr>
        <w:footnoteReference w:id="5"/>
      </w:r>
      <w:r>
        <w:rPr>
          <w:sz w:val="17"/>
          <w:szCs w:val="17"/>
          <w:lang w:eastAsia="zh-CN"/>
        </w:rPr>
        <w:t xml:space="preserve">.</w:t>
      </w:r>
      <w:r>
        <w:rPr>
          <w:sz w:val="18"/>
          <w:szCs w:val="18"/>
          <w:lang w:eastAsia="zh-CN"/>
        </w:rPr>
      </w:r>
      <w:r/>
    </w:p>
    <w:p>
      <w:pPr>
        <w:pStyle w:val="751"/>
        <w:numPr>
          <w:ilvl w:val="0"/>
          <w:numId w:val="12"/>
        </w:numPr>
        <w:ind w:left="142" w:hanging="142"/>
        <w:jc w:val="both"/>
        <w:tabs>
          <w:tab w:val="left" w:pos="142" w:leader="none"/>
          <w:tab w:val="clear" w:pos="708" w:leader="none"/>
        </w:tabs>
      </w:pPr>
      <w:r>
        <w:rPr>
          <w:sz w:val="18"/>
          <w:szCs w:val="18"/>
          <w:lang w:eastAsia="zh-CN"/>
        </w:rPr>
        <w:t xml:space="preserve">Заявитель осведомлен и согласен с тем, что Арендодатель (Прод</w:t>
      </w:r>
      <w:r>
        <w:rPr>
          <w:sz w:val="18"/>
          <w:szCs w:val="18"/>
          <w:lang w:eastAsia="zh-CN"/>
        </w:rPr>
        <w:t xml:space="preserve">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проведении аукциона в электронной форме, а также приостановление</w:t>
      </w:r>
      <w:r>
        <w:rPr>
          <w:sz w:val="18"/>
          <w:szCs w:val="18"/>
          <w:lang w:eastAsia="zh-CN"/>
        </w:rPr>
        <w:t xml:space="preserve">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</w:t>
      </w:r>
      <w:r>
        <w:rPr>
          <w:sz w:val="18"/>
          <w:szCs w:val="18"/>
          <w:lang w:eastAsia="zh-CN"/>
        </w:rPr>
        <w:t xml:space="preserve">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www.torgi.gov.</w:t>
      </w:r>
      <w:r>
        <w:rPr>
          <w:color w:val="000000"/>
          <w:sz w:val="18"/>
          <w:szCs w:val="18"/>
          <w:lang w:eastAsia="zh-CN"/>
        </w:rPr>
        <w:t xml:space="preserve">ruи сайте Оператора электронной площадки</w:t>
      </w:r>
      <w:r>
        <w:rPr>
          <w:sz w:val="18"/>
          <w:szCs w:val="18"/>
          <w:lang w:eastAsia="zh-CN"/>
        </w:rPr>
        <w:t xml:space="preserve">.</w:t>
      </w:r>
      <w:r>
        <w:rPr>
          <w:sz w:val="18"/>
          <w:szCs w:val="18"/>
          <w:lang w:eastAsia="zh-CN"/>
        </w:rPr>
      </w:r>
      <w:r/>
    </w:p>
    <w:p>
      <w:pPr>
        <w:pStyle w:val="751"/>
        <w:ind w:left="142" w:hanging="142"/>
        <w:jc w:val="both"/>
      </w:pPr>
      <w:r>
        <w:rPr>
          <w:sz w:val="18"/>
          <w:szCs w:val="18"/>
          <w:lang w:eastAsia="zh-CN"/>
        </w:rPr>
        <w:t xml:space="preserve">8.В соответствии с Ф</w:t>
      </w:r>
      <w:r>
        <w:rPr>
          <w:sz w:val="18"/>
          <w:szCs w:val="18"/>
          <w:lang w:eastAsia="zh-CN"/>
        </w:rPr>
        <w:t xml:space="preserve">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</w:t>
      </w:r>
      <w:r>
        <w:rPr>
          <w:sz w:val="18"/>
          <w:szCs w:val="18"/>
          <w:lang w:eastAsia="zh-CN"/>
        </w:rPr>
        <w:t xml:space="preserve">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</w:t>
      </w:r>
      <w:r>
        <w:rPr>
          <w:sz w:val="18"/>
          <w:szCs w:val="18"/>
          <w:lang w:eastAsia="zh-CN"/>
        </w:rPr>
        <w:t xml:space="preserve">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</w:t>
      </w:r>
      <w:r>
        <w:rPr>
          <w:sz w:val="18"/>
          <w:szCs w:val="18"/>
          <w:lang w:eastAsia="zh-CN"/>
        </w:rPr>
        <w:t xml:space="preserve">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№152-ФЗ, права и обязанности в области защиты персональных данных ему известны.</w:t>
      </w:r>
      <w:r>
        <w:rPr>
          <w:sz w:val="18"/>
          <w:szCs w:val="18"/>
          <w:lang w:eastAsia="zh-CN"/>
        </w:rPr>
      </w:r>
      <w:r/>
    </w:p>
    <w:p>
      <w:pPr>
        <w:pStyle w:val="751"/>
        <w:spacing w:before="0" w:after="160" w:line="259" w:lineRule="auto"/>
      </w:pPr>
      <w:r>
        <w:rPr>
          <w:szCs w:val="28"/>
          <w:lang w:eastAsia="zh-CN"/>
        </w:rPr>
      </w:r>
      <w:r>
        <w:rPr>
          <w:szCs w:val="28"/>
          <w:lang w:eastAsia="zh-CN"/>
        </w:rPr>
      </w:r>
      <w:r/>
    </w:p>
    <w:p>
      <w:pPr>
        <w:pStyle w:val="751"/>
        <w:spacing w:before="0" w:after="160" w:line="259" w:lineRule="auto"/>
      </w:pPr>
      <w:r>
        <w:rPr>
          <w:szCs w:val="28"/>
          <w:lang w:eastAsia="zh-CN"/>
        </w:rPr>
        <w:t xml:space="preserve">Подписано усиленной квалифицированной электронной подписью</w:t>
      </w:r>
      <w:r>
        <w:rPr>
          <w:bCs/>
          <w:szCs w:val="28"/>
          <w:lang w:eastAsia="zh-CN"/>
        </w:rPr>
      </w:r>
      <w:r/>
    </w:p>
    <w:tbl>
      <w:tblPr>
        <w:tblStyle w:val="951"/>
        <w:tblW w:w="5000" w:type="pct"/>
        <w:tblInd w:w="0" w:type="dxa"/>
        <w:tblLayout w:type="fixed"/>
        <w:tblCellMar>
          <w:left w:w="85" w:type="dxa"/>
          <w:top w:w="28" w:type="dxa"/>
          <w:right w:w="85" w:type="dxa"/>
          <w:bottom w:w="28" w:type="dxa"/>
        </w:tblCellMar>
        <w:tblLook w:val="04A0" w:firstRow="1" w:lastRow="0" w:firstColumn="1" w:lastColumn="0" w:noHBand="0" w:noVBand="1"/>
      </w:tblPr>
      <w:tblGrid>
        <w:gridCol w:w="9498"/>
      </w:tblGrid>
      <w:tr>
        <w:tblPrEx/>
        <w:trPr>
          <w:trHeight w:val="262"/>
        </w:trPr>
        <w:tc>
          <w:tcPr>
            <w:tcBorders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120" w:after="0"/>
              <w:widowControl/>
              <w:rPr>
                <w:bCs/>
              </w:rPr>
            </w:pPr>
            <w:r>
              <w:rPr>
                <w:b/>
                <w:sz w:val="16"/>
                <w:szCs w:val="16"/>
                <w:lang w:val="ru-RU" w:eastAsia="zh-CN" w:bidi="ar-SA"/>
              </w:rPr>
              <w:t xml:space="preserve">Данные электронной подписи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trHeight w:val="17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  <w:t xml:space="preserve">Владелец: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  <w:t xml:space="preserve">Организация: </w:t>
            </w:r>
            <w:r>
              <w:fldChar w:fldCharType="begin"/>
            </w:r>
            <w:r>
              <w:rPr>
                <w:sz w:val="16"/>
                <w:szCs w:val="16"/>
                <w:lang w:val="ru-RU" w:eastAsia="zh-CN" w:bidi="ar-SA"/>
              </w:rPr>
              <w:instrText xml:space="preserve">Документ_ЭлПодпись_Организация_Участник</w:instrText>
            </w:r>
            <w:r>
              <w:rPr>
                <w:sz w:val="16"/>
                <w:szCs w:val="16"/>
                <w:lang w:val="ru-RU" w:eastAsia="zh-CN" w:bidi="ar-SA"/>
              </w:rPr>
              <w:fldChar w:fldCharType="separate"/>
            </w:r>
            <w:r>
              <w:rPr>
                <w:b/>
                <w:bCs/>
                <w:sz w:val="16"/>
                <w:szCs w:val="16"/>
                <w:lang w:val="ru-RU" w:eastAsia="zh-CN" w:bidi="ar-SA"/>
              </w:rPr>
              <w:t xml:space="preserve">.</w:t>
            </w:r>
            <w:r>
              <w:rPr>
                <w:sz w:val="16"/>
                <w:szCs w:val="16"/>
                <w:lang w:val="ru-RU" w:eastAsia="zh-CN" w:bidi="ar-SA"/>
              </w:rPr>
              <w:fldChar w:fldCharType="end"/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  <w:t xml:space="preserve">Подписано: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7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after="0"/>
              <w:widowControl/>
              <w:rPr>
                <w:bCs/>
                <w:lang w:eastAsia="zh-CN"/>
              </w:rPr>
            </w:pPr>
            <w:r>
              <w:rPr>
                <w:b/>
                <w:sz w:val="16"/>
                <w:szCs w:val="16"/>
                <w:lang w:val="ru-RU" w:eastAsia="zh-CN" w:bidi="ar-SA"/>
              </w:rPr>
              <w:t xml:space="preserve">Данные сертификата</w:t>
            </w:r>
            <w:r>
              <w:rPr>
                <w:bCs/>
                <w:lang w:eastAsia="zh-CN"/>
              </w:rPr>
            </w:r>
            <w:r>
              <w:rPr>
                <w:bCs/>
                <w:lang w:eastAsia="zh-CN"/>
              </w:rPr>
            </w:r>
          </w:p>
        </w:tc>
      </w:tr>
      <w:tr>
        <w:tblPrEx/>
        <w:trPr>
          <w:trHeight w:val="17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  <w:t xml:space="preserve">Серийный номер: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  <w:t xml:space="preserve">Срок действия: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</w:tbl>
    <w:p>
      <w:pPr>
        <w:pStyle w:val="751"/>
        <w:ind w:left="7655" w:firstLine="0"/>
        <w:jc w:val="both"/>
        <w:widowControl w:val="off"/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pStyle w:val="751"/>
      </w:pPr>
      <w:r>
        <w:rPr>
          <w:sz w:val="20"/>
          <w:szCs w:val="20"/>
        </w:rPr>
      </w:r>
      <w:r>
        <w:br w:type="page" w:clear="all"/>
      </w:r>
      <w:r>
        <w:rPr>
          <w:sz w:val="20"/>
          <w:szCs w:val="20"/>
        </w:rPr>
      </w:r>
      <w:r/>
    </w:p>
    <w:p>
      <w:pPr>
        <w:pStyle w:val="751"/>
        <w:ind w:left="7655" w:firstLine="0"/>
        <w:jc w:val="both"/>
        <w:widowControl w:val="off"/>
        <w:rPr>
          <w:sz w:val="22"/>
          <w:szCs w:val="22"/>
        </w:rPr>
      </w:pPr>
      <w:r>
        <w:rPr>
          <w:sz w:val="22"/>
          <w:szCs w:val="22"/>
        </w:rPr>
        <w:t xml:space="preserve">Приложение 2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51"/>
        <w:ind w:firstLine="851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ДОГОВОР АРЕНДЫ ЗЕМЕЛЬНОГО УЧАСТКА №._______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город Кострома                                                                                                «___» _________ 20__ года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Управление имущественных и земельных отношений Администрации города Костромы</w:t>
      </w:r>
      <w:r>
        <w:rPr>
          <w:rFonts w:ascii="Times New Roman" w:hAnsi="Times New Roman" w:cs="Times New Roman"/>
          <w:sz w:val="22"/>
          <w:szCs w:val="22"/>
        </w:rPr>
        <w:t xml:space="preserve">, в лице _____________________________________, действующего на основании П</w:t>
      </w:r>
      <w:r>
        <w:rPr>
          <w:rFonts w:ascii="Times New Roman" w:hAnsi="Times New Roman" w:cs="Times New Roman"/>
          <w:sz w:val="22"/>
          <w:szCs w:val="22"/>
        </w:rPr>
        <w:t xml:space="preserve">оложения об Управлении, утвержденного постановлением Администрации города Костромы от 23 марта 2015 года № 604 и кадрового распоряжения Администрации города Костромы от ___________________________, именуемое в дальнейшем «Арендодатель», с одной стороны, и </w:t>
      </w:r>
      <w:r>
        <w:rPr>
          <w:rFonts w:ascii="Times New Roman" w:hAnsi="Times New Roman" w:cs="Times New Roman"/>
          <w:b/>
          <w:sz w:val="22"/>
          <w:szCs w:val="22"/>
        </w:rPr>
        <w:t xml:space="preserve">______________________________________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, в лице ____________________________, действующего на </w:t>
      </w:r>
      <w:r>
        <w:rPr>
          <w:rFonts w:ascii="Times New Roman" w:hAnsi="Times New Roman" w:cs="Times New Roman"/>
          <w:sz w:val="22"/>
          <w:szCs w:val="22"/>
        </w:rPr>
        <w:t xml:space="preserve">основании __________, именуемое в дальнейшем «Арендатор», совместно именуемые «Стороны», в соответствии со статьями 39.1, 39.6, 39.7, 39.8, 39.12, 39.13 Земельного кодекса Российской Федерации, заключили настоящий договор (далее – Договор) о нижеследующем: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1. Предмет договора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numPr>
          <w:ilvl w:val="1"/>
          <w:numId w:val="14"/>
        </w:numPr>
        <w:ind w:left="0" w:firstLine="709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Арендода</w:t>
      </w:r>
      <w:r>
        <w:rPr>
          <w:rFonts w:ascii="Times New Roman" w:hAnsi="Times New Roman" w:cs="Times New Roman"/>
          <w:sz w:val="22"/>
          <w:szCs w:val="22"/>
        </w:rPr>
        <w:t xml:space="preserve">тель обязуется предоставить Арендатору в аренду для строительства земельный участок из земель населенных пунктов, государственная собственность на которые не разграничена, с кадастровым номером ___________________ по адресу: Российская Федерация, Костромск</w:t>
      </w:r>
      <w:r>
        <w:rPr>
          <w:rFonts w:ascii="Times New Roman" w:hAnsi="Times New Roman" w:cs="Times New Roman"/>
          <w:sz w:val="22"/>
          <w:szCs w:val="22"/>
        </w:rPr>
        <w:t xml:space="preserve">ая область, город Кострома, ________________ (далее – Участок), вид разрешенного использования: ___________________, в границах, указанных в кадастровом паспорте Участка (дата и номер кадастрового паспорта), общей площадью __________ квадратных метра (ов).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numPr>
          <w:ilvl w:val="1"/>
          <w:numId w:val="14"/>
        </w:numPr>
        <w:ind w:left="0" w:firstLine="709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Участок имеет следующие ограничения (обременения):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09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09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09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1.3. Внесение изменений в Договор в части изменения вида разрешенного использования земельного участка не допускается.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2. Срок Договора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numPr>
          <w:ilvl w:val="1"/>
          <w:numId w:val="15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Договор заключен сроком на ______ с даты его подписания Сторонами.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numPr>
          <w:ilvl w:val="1"/>
          <w:numId w:val="15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Договор, заключенный на срок один год и более, подлежит государственной регистрации в Управлении Федеральной службы государственной регистрации, кадастра и картографии по Костромской области.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numPr>
          <w:ilvl w:val="1"/>
          <w:numId w:val="15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Арендатор земельного участка не имеет преимущественного права на заключения на новый срок договора аренды такого земельного участка без проведения торгов.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3. Размер и условия внесения арендной платы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numPr>
          <w:ilvl w:val="1"/>
          <w:numId w:val="16"/>
        </w:numPr>
        <w:ind w:left="0" w:right="-5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За аренду земельного участка, указанного в пункте 1.1. Договора начисляется ежегодная арендная плата в сумме ______________ рублей.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numPr>
          <w:ilvl w:val="1"/>
          <w:numId w:val="16"/>
        </w:numPr>
        <w:ind w:left="0" w:firstLine="851"/>
        <w:jc w:val="both"/>
        <w:spacing w:after="0" w:afterAutospacing="0"/>
        <w:widowControl w:val="off"/>
        <w:tabs>
          <w:tab w:val="clear" w:pos="0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Арендатор перечисляет Арендодателю на расчетный сче</w:t>
      </w:r>
      <w:r>
        <w:rPr>
          <w:rFonts w:ascii="Times New Roman" w:hAnsi="Times New Roman" w:cs="Times New Roman"/>
          <w:sz w:val="22"/>
          <w:szCs w:val="22"/>
        </w:rPr>
        <w:t xml:space="preserve">т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Управления Федерального казначейства по Костромской области (Управление имущественных и земельных отношений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 Администрации города Костромы),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ИНН 4401006568, КПП 440101001, единый казначейский счет 40102810945370000034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казначейский счет 03100643000000014100,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б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анк получателя ОТДЕЛЕНИЕ КОСТРОМА БАНКА РОССИИ//УФК ПО КОСТРОМСКОЙ ОБЛАСТИ г. Кострома, БИК 013469126, КБК 96611105012040000120, ОКТМО 34701000</w:t>
      </w:r>
      <w:r>
        <w:rPr>
          <w:rFonts w:ascii="Times New Roman" w:hAnsi="Times New Roman" w:cs="Times New Roman"/>
          <w:sz w:val="22"/>
          <w:szCs w:val="22"/>
        </w:rPr>
        <w:t xml:space="preserve">,</w:t>
      </w:r>
      <w:r>
        <w:rPr>
          <w:rFonts w:ascii="Times New Roman" w:hAnsi="Times New Roman" w:cs="Times New Roman"/>
          <w:sz w:val="22"/>
          <w:szCs w:val="22"/>
        </w:rPr>
        <w:t xml:space="preserve"> «За аренду земельного участка по адресу: ____________________</w:t>
      </w:r>
      <w:r>
        <w:rPr>
          <w:rFonts w:ascii="Times New Roman" w:hAnsi="Times New Roman" w:cs="Times New Roman"/>
          <w:sz w:val="22"/>
          <w:szCs w:val="22"/>
        </w:rPr>
        <w:t xml:space="preserve">_____________, договор № ______________________», арендную плату за за первый год аренды земельного участка, указанного в пункте 1.1 Договора, в сумме ______________________ (с учетом задатка) в течение 10 дней с даты подписания настоящего Д</w:t>
      </w:r>
      <w:r>
        <w:rPr>
          <w:rFonts w:ascii="Times New Roman" w:hAnsi="Times New Roman" w:cs="Times New Roman"/>
          <w:sz w:val="22"/>
          <w:szCs w:val="22"/>
        </w:rPr>
        <w:t xml:space="preserve">оговора. Днем оплаты арендной платы, указанной в Договоре, считается день зачисления денежных средств на расчетный счет Арендодателя. Перечисленный Арендодателю задаток за участие в аукционе на право заключения договора аренды земельного участка в размере </w:t>
      </w:r>
      <w:r>
        <w:rPr>
          <w:rFonts w:ascii="Times New Roman" w:hAnsi="Times New Roman" w:cs="Times New Roman"/>
          <w:b/>
          <w:sz w:val="22"/>
          <w:szCs w:val="22"/>
        </w:rPr>
        <w:t xml:space="preserve">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 зачисляется в счет арендной платы за земельный участок по настоящему Договору.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numPr>
          <w:ilvl w:val="1"/>
          <w:numId w:val="16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Сроки внесения арендной платы: до окончания срока аренды ежегодно в сумме _____________ рублей не позднее __________.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numPr>
          <w:ilvl w:val="1"/>
          <w:numId w:val="16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Размер арендной платы устанавливается на основании протокола о результатах торгов. В сумму первого платежа по Договору включается сумма задатка, уплаченная Покупателем по заявке.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numPr>
          <w:ilvl w:val="1"/>
          <w:numId w:val="16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случае превышения платежа над начисленной суммой по арендной плате погашается задолженность по п</w:t>
      </w:r>
      <w:r>
        <w:rPr>
          <w:rFonts w:ascii="Times New Roman" w:hAnsi="Times New Roman" w:cs="Times New Roman"/>
          <w:sz w:val="22"/>
          <w:szCs w:val="22"/>
        </w:rPr>
        <w:t xml:space="preserve">еням за первый период (и последующий за ним), в котором образовалась задолженность. После погашения пеней, штрафов и всей суммы задолженности по арендной плате, оставшаяся сумма считается авансовым внесением арендной платы за ближайший оплачиваемый период.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numPr>
          <w:ilvl w:val="1"/>
          <w:numId w:val="16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Взаиморасчеты сторон по настоящему Договору фиксируются актом сверки, который составляется Арендодателем. В течение пяти рабочих дней со дня получения акта сверки, Арендатор обязан подписать его или представить мотивированный отказ.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Если в течение указанного срока Арендатор не подписывает акт сверки и не представляет мотивированный отказ от его подписания, акт сверки считается подписанным Арендатором.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numPr>
          <w:ilvl w:val="1"/>
          <w:numId w:val="16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случае, одностороннего отказа, предусмотренного пунктом 6.2. настоящего Договора, </w:t>
      </w:r>
      <w:r>
        <w:rPr>
          <w:rFonts w:ascii="Times New Roman" w:hAnsi="Times New Roman" w:cs="Times New Roman"/>
          <w:sz w:val="22"/>
          <w:szCs w:val="22"/>
        </w:rPr>
        <w:t xml:space="preserve">досрочного расторжения Договора в случаях, предусмотренных пунктами 6.2.1.-6.2.6. настоящего Договора, арендная плата, </w:t>
      </w:r>
      <w:r>
        <w:rPr>
          <w:rFonts w:ascii="Times New Roman" w:hAnsi="Times New Roman" w:cs="Times New Roman"/>
          <w:sz w:val="22"/>
          <w:szCs w:val="22"/>
        </w:rPr>
        <w:t xml:space="preserve">предусмотренная пунктом 3.1. настоящего Договора, возврату Арендатору не подлежит.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4. Права и обязанности Сторон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 Арендодатель имеет право: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4.1.1. На односторонний отказ от исполнения Договора во внесудебном порядке, в случаях, предусмотренных пунктом 6.2. Договора;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4.1.2. На досрочное расторжение Договора в судебном порядке, в случаях, предусмотренных пунктом 6.4. Договора;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4.1.3. На беспрепятственный доступ на территорию арендуемого земельного участка с целью его осмотра на предмет соблюдения условий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4.1.4. На возмещение убытков, причиненных ухудшением качества Участка и экологической обстановки в результате хозяйственной деятельности Арендаторов, а также по иным основаниям, предусмотренным законодательством Российской Федерации.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 Арендодатель обязан: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4.2.1. Выполнять в полном объеме все условия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4.2.2. Передать Арендатору участок по акту приема – передачи.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4.2.3. Письменно и своевременно уведомить Арендатора в случае изменения номеров счетов для перечисления арендной платы, указанных в пункте 3.2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4.2.4. Письменно сообщить Арендатору не позднее, чем за 14 (четырнадцать) дней о необходимости освобождения Участка при досрочном расторжении Договора или одностороннем отказе от исполнения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4.2.5. Предоставлять расчет арендной платы Арендатору по его требованию.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4.3. Арендатор имеет право: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4.3.1. Использовать Участок на условиях, установленных Договором.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 Арендатор обязан: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4.4.1. Выполнять в полном объеме все условия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4.4.2. Использовать Участок в соответствии с целевым назначением и разрешенным использованием.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4.4.3. Без получения счета и в соответствии с условиями договора уплачивать в размере и на условиях, установленных Договором, арендную плату.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4.4.4.</w:t>
        <w:tab/>
        <w:t xml:space="preserve">Обеспечивать Арендодателю и его представителям, пр</w:t>
      </w:r>
      <w:r>
        <w:rPr>
          <w:rFonts w:ascii="Times New Roman" w:hAnsi="Times New Roman" w:cs="Times New Roman"/>
          <w:sz w:val="22"/>
          <w:szCs w:val="22"/>
        </w:rPr>
        <w:t xml:space="preserve">едставителям органов государственного и муниципального земельного контроля доступ на Участок по их требованию и выполнять все предписания указанных должностных лиц, соответствующим службам доступ для эксплуатации, ремонта и обслуживания линий коммуникаций.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4.4.5. Письменно сообщить Арендод</w:t>
      </w:r>
      <w:r>
        <w:rPr>
          <w:rFonts w:ascii="Times New Roman" w:hAnsi="Times New Roman" w:cs="Times New Roman"/>
          <w:sz w:val="22"/>
          <w:szCs w:val="22"/>
        </w:rPr>
        <w:t xml:space="preserve">ателю не позднее, чем за 1 (один) месяц о предстоящем освобождении Участка в связи с окончанием срока действия Договора. Передача земельного участка по акту приема-передачи осуществляется Арендатором в день, следующий за днем прекращения действия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4.4.6. Не допускать действий, приводящих к ухудшению экологической обстановки на арендуемом земельном участке и прилегающих к нему территориях.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4.4.7. За свой счет выполнять работы по благоустройству территории, поддержанию ее в надлежащем санитарном состоянии в соответствии с законодательством Костромской области и нормативными правовыми актами органов местного самоуправления.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4.4.8. В 10-дневный срок направить Арендодателю письменное уведомление об изменении названия, юридического адреса, электронной почты, расчетного счета или прекращения деятельности п</w:t>
      </w:r>
      <w:r>
        <w:rPr>
          <w:rFonts w:ascii="Times New Roman" w:hAnsi="Times New Roman" w:cs="Times New Roman"/>
          <w:sz w:val="22"/>
          <w:szCs w:val="22"/>
        </w:rPr>
        <w:t xml:space="preserve">редприятия, учреждения или организации в случае, если Арендатор – юридическое лицо; об изменении фамилии, имени, отчества, адреса места жительства, номера телефона, номера факса и электронной почты (если имеется) в случае, если Арендатор – физическое лицо.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4.4.9. Соблюдать санитарные, противопожарные нормы и требования, действующие правила благоустройства территории города Костромы, а так же иные требования, установленные действующим законодательством.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4.4.10. В случае если Участок находится в зоне археологического слоя, соблюдать особые условия использования земельного участка и режим хозяйственной деятельности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4.4.11. Не передавать арендованный земельный участок в субаренду, а также права и обязанности по договору третьим лицам, не осуществлять мероприятий по его разделу, объединению, перераспределению, выделу.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4.4.12. Возвратить Участок в надлежащем состоянии по окончанию действия Договора, при досрочном расторжении Договора, одностороннем отказе от исполнения Договора в день, следующий за днем прекращения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4.4.13. Оформить разрешение на строительство и проведение земляных работ при прокладке инженерных сетей в Администрации города Костромы.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4.5. Арендодатель и Арендатор имеют иные права и несут иные обязанности, установленные законодательством Российской Федерации.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5. Ответственность Сторон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5.1. Ответственность за состояние Участка наступает у Арендатора с момента подписания Сторонами акта приема-передачи и прекращается с момента подписания акта о его передаче Арендодателю.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cs="Times New Roman"/>
          <w:sz w:val="22"/>
          <w:szCs w:val="22"/>
        </w:rPr>
        <w:t xml:space="preserve">5.2. За нарушение услов</w:t>
      </w:r>
      <w:r>
        <w:rPr>
          <w:rFonts w:ascii="Times New Roman" w:hAnsi="Times New Roman" w:cs="Times New Roman"/>
          <w:sz w:val="22"/>
          <w:szCs w:val="22"/>
        </w:rPr>
        <w:t xml:space="preserve">ий Договора Стороны несут ответственность, предусмотренную законодательством Российской Федерации.</w:t>
      </w:r>
      <w:r>
        <w:rPr>
          <w:rFonts w:ascii="Times New Roman" w:hAnsi="Times New Roman" w:cs="Times New Roman"/>
          <w:sz w:val="22"/>
          <w:szCs w:val="22"/>
          <w14:ligatures w14:val="none"/>
        </w:rPr>
      </w:r>
      <w:r>
        <w:rPr>
          <w:rFonts w:ascii="Times New Roman" w:hAnsi="Times New Roman" w:cs="Times New Roman"/>
          <w:sz w:val="22"/>
          <w:szCs w:val="22"/>
          <w14:ligatures w14:val="none"/>
        </w:rPr>
      </w:r>
    </w:p>
    <w:p>
      <w:pPr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cs="Times New Roman"/>
          <w:sz w:val="22"/>
          <w:szCs w:val="22"/>
        </w:rPr>
        <w:t xml:space="preserve">5.3.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За нарушение срока внесения арендной платы по Договору Арендатор выплачивает Арендодателю пени из расчета 1/150 ставки рефинансирования Центрального Банка Российской Федерации от размера невнесенной арендной платы за каждый календарный день просрочки.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Пени начисляются со дня образования задолженности по арендной плате и перечисляются на следующие реквизиты: получатель УФК по Костромской области (Управление имущественных и земельных отношений Администрации города Костромы), ИНН 4401006568, КПП 440101001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, единый казначейский счет 40102810945370000034, казначейский счет 03100643000000014100, банк получателя ОТДЕЛЕНИЕ КОСТРОМА БАНКА РОССИИ//УФК ПО КОСТРОМСКОЙ ОБЛАСТИ г. Кострома, БИК 013469126, КБК 96611607090040000140, ОКТМО 34701000.</w:t>
      </w:r>
      <w:r>
        <w:rPr>
          <w:rFonts w:ascii="Times New Roman" w:hAnsi="Times New Roman" w:cs="Times New Roman"/>
          <w:sz w:val="22"/>
          <w:szCs w:val="22"/>
          <w14:ligatures w14:val="none"/>
        </w:rPr>
      </w:r>
      <w:r>
        <w:rPr>
          <w:rFonts w:ascii="Times New Roman" w:hAnsi="Times New Roman" w:cs="Times New Roman"/>
          <w:sz w:val="22"/>
          <w:szCs w:val="22"/>
          <w14:ligatures w14:val="none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5.4. В случае если Арендатор в срок</w:t>
      </w:r>
      <w:r>
        <w:rPr>
          <w:rFonts w:ascii="Times New Roman" w:hAnsi="Times New Roman" w:cs="Times New Roman"/>
          <w:sz w:val="22"/>
          <w:szCs w:val="22"/>
        </w:rPr>
        <w:t xml:space="preserve">, установленный в пункте 4.4.12 Договора, не возвратил Участок, либо возвратил его несвоевременно, уплачивается штраф в размере 1/12 ежегодной арендной платы, при этом действие договора не считается возобновленным на тех же условиях на неопределенный срок.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5.5. В случае невыполнения действий, указанных в пунктах 4.4.2, 4.4.6, 4.4.8, 4.4.11, 4.4.13 Договора, Арендатор уплачивает штраф в размере 1/12 ежегодной арендной платы.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5.6.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6. Изменение, расторжение и прекращение Договора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6.1. Все изменения и (или) дополнения к Договору оформляются Сторонами в письменной форме.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 Арендодатель имеет право на односторонний отказ от исполнения Договора, если такой Договор заключен на срок не более чем пять лет, в случаях: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6.2.1. при использовании земельного участка не в соответствии с его целевым назначением и разрешенным использованием, предусмотренным в пункте 1.1 Договора;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6.2.2. при существенном ухудшении состояния земельного участка;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6.2.3. невнесения и (или) неполного внесения Арендатором арендной платы по истечении установленного Договором срока платежа;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6.2.4. при изъятии земельного участка для государственных или муниципальных нужд в соответствии с правилами, установленными действующим законодательством Российской Федерации;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6.2.5. при использовании земельного участка с иными существенными нарушениями условий Договора;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6.2.6. в иных случаях, предусмотренных действующим законодательством Российской Федерации.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6.3. В случае одностороннего отказа </w:t>
      </w:r>
      <w:r>
        <w:rPr>
          <w:rFonts w:ascii="Times New Roman" w:hAnsi="Times New Roman" w:cs="Times New Roman"/>
          <w:sz w:val="22"/>
          <w:szCs w:val="22"/>
        </w:rPr>
        <w:t xml:space="preserve">от исполнения Договора, Договор считается расторгнутым по истечении 14 (четырнадцати) дней с момента получения Арендатором уведомления об одностороннем отказе от исполнения Договора. Уведомление направляется Арендодателем заказным письмом с уведомлением и </w:t>
      </w:r>
      <w:r>
        <w:rPr>
          <w:rFonts w:ascii="Times New Roman" w:hAnsi="Times New Roman" w:cs="Times New Roman"/>
          <w:sz w:val="22"/>
          <w:szCs w:val="22"/>
        </w:rPr>
        <w:t xml:space="preserve">считается полученным в день его получения Арендатором либо в день извещения организацией почтовой связи об отсутствии Арендатора по всем адресам, указанным в Договоре. В этом случае заключение дополнительного соглашения о расторжении Договора не требуется.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Односторонний отказ от исполнения Договора возможен способом факсимильной связи, либо путем направления уведомления на электронную почту, если Арендатором в Договоре указаны соответствующие реквизиты.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6.4. Если иное не предусмотрено федеральным законодательством, досрочное расторжение Договора,</w:t>
      </w:r>
      <w:r>
        <w:rPr>
          <w:rFonts w:ascii="Times New Roman" w:hAnsi="Times New Roman" w:cs="Times New Roman"/>
          <w:sz w:val="22"/>
          <w:szCs w:val="22"/>
        </w:rPr>
        <w:t xml:space="preserve"> заключенного на срок более чем пять лет по требованию Арендодателя возможно только на основании решения суда в случаях, предусмотренных пунктами 6.2.1 – 6.2.6 Договора. Условия об одностороннем отказе от исполнения Договора в данном случае не применяются.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6.5. Односторонний отказ от исполнения Договора, предусмотренный пу</w:t>
      </w:r>
      <w:r>
        <w:rPr>
          <w:rFonts w:ascii="Times New Roman" w:hAnsi="Times New Roman" w:cs="Times New Roman"/>
          <w:sz w:val="22"/>
          <w:szCs w:val="22"/>
        </w:rPr>
        <w:t xml:space="preserve">нктом 6.2 Договора, допускается только в том случае, если Арендатор использует Участок в целях осуществления предпринимательской деятельности. В иных случаях допускается только досрочное расторжение Договора в порядке, предусмотренном пунктом 6.4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6.6. Договор считается прекращенным по истечении срока, на который он заключен.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6.7. При прекращени</w:t>
      </w:r>
      <w:r>
        <w:rPr>
          <w:rFonts w:ascii="Times New Roman" w:hAnsi="Times New Roman" w:cs="Times New Roman"/>
          <w:sz w:val="22"/>
          <w:szCs w:val="22"/>
        </w:rPr>
        <w:t xml:space="preserve">и Договора, Арендатор обязан вернуть Арендодателю Участок в надлежащем состоянии. В случае если Арендатор уклонился от возвращения Участка, Участок считается возвращенным Арендодателю со дня составления Арендодателем акта об одностороннем возврате Участка.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7. Рассмотрение и урегулирование споров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7.1. Все споры между Сторонами, возникающие по Договору, разрешаются в соответствии с законодательством Российской Федерации в судах Костромской области по месту нахождения Арендодателя.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8. Особые условия договора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after="0" w:line="288" w:lineRule="atLeast"/>
        <w:rPr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2"/>
          <w:szCs w:val="22"/>
        </w:rPr>
        <w:t xml:space="preserve">8.1. Насто</w:t>
      </w:r>
      <w:r>
        <w:rPr>
          <w:rFonts w:ascii="Times New Roman" w:hAnsi="Times New Roman" w:cs="Times New Roman"/>
          <w:sz w:val="22"/>
          <w:szCs w:val="22"/>
        </w:rPr>
        <w:t xml:space="preserve">ящий Договор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заключается в электронной форме и подписывается усиленной квалифицированной электронной подписью сторон такого договора.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t xml:space="preserve">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9. Реквизиты Сторон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Арендодатель: Управление имущественных и земельных отношений Администрации города Костромы, 156005, город Кострома, площадь Конституции, дом 2, ИНН 4401006568, ОГРН: 1034408610411, КПП 440101001, номер телефона: +7 (4942) 42-68-41.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Арендатор:  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10. Подписи Сторон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tbl>
      <w:tblPr>
        <w:tblW w:w="9828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5327"/>
        <w:gridCol w:w="4500"/>
      </w:tblGrid>
      <w:tr>
        <w:tblPrEx/>
        <w:trPr/>
        <w:tc>
          <w:tcPr>
            <w:tcW w:w="5327" w:type="dxa"/>
            <w:textDirection w:val="lrTb"/>
            <w:noWrap w:val="false"/>
          </w:tcPr>
          <w:p>
            <w:pPr>
              <w:pStyle w:val="751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Арендодатель: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751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4500" w:type="dxa"/>
            <w:textDirection w:val="lrTb"/>
            <w:noWrap w:val="false"/>
          </w:tcPr>
          <w:p>
            <w:pPr>
              <w:pStyle w:val="751"/>
              <w:ind w:firstLine="65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Арендатор: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5327" w:type="dxa"/>
            <w:textDirection w:val="lrTb"/>
            <w:noWrap w:val="false"/>
          </w:tcPr>
          <w:p>
            <w:pPr>
              <w:pStyle w:val="751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имущественных и земельных отношений Администрации города Костромы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4500" w:type="dxa"/>
            <w:textDirection w:val="lrTb"/>
            <w:noWrap w:val="false"/>
          </w:tcPr>
          <w:p>
            <w:pPr>
              <w:pStyle w:val="751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5327" w:type="dxa"/>
            <w:textDirection w:val="lrTb"/>
            <w:noWrap w:val="false"/>
          </w:tcPr>
          <w:p>
            <w:pPr>
              <w:pStyle w:val="751"/>
              <w:ind w:firstLine="851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751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Управления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751"/>
              <w:ind w:firstLine="180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4500" w:type="dxa"/>
            <w:textDirection w:val="lrTb"/>
            <w:noWrap w:val="false"/>
          </w:tcPr>
          <w:p>
            <w:pPr>
              <w:pStyle w:val="751"/>
              <w:ind w:firstLine="60"/>
              <w:jc w:val="center"/>
              <w:spacing w:after="0" w:afterAutospacing="0"/>
              <w:widowControl w:val="off"/>
              <w:tabs>
                <w:tab w:val="clear" w:pos="708" w:leader="none"/>
                <w:tab w:val="left" w:pos="1832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pStyle w:val="751"/>
        <w:jc w:val="both"/>
        <w:spacing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7655" w:firstLine="0"/>
        <w:jc w:val="both"/>
        <w:widowControl w:val="off"/>
      </w:pPr>
      <w:r>
        <w:rPr>
          <w:sz w:val="20"/>
          <w:szCs w:val="20"/>
        </w:rPr>
      </w:r>
      <w:r/>
    </w:p>
    <w:sectPr>
      <w:footnotePr>
        <w:numFmt w:val="decimal"/>
      </w:footnotePr>
      <w:endnotePr/>
      <w:type w:val="nextPage"/>
      <w:pgSz w:w="11906" w:h="16838" w:orient="portrait"/>
      <w:pgMar w:top="425" w:right="707" w:bottom="96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Calibri">
    <w:panose1 w:val="020F0502020204030204"/>
  </w:font>
  <w:font w:name="Mangal">
    <w:panose1 w:val="02040503050203030202"/>
  </w:font>
  <w:font w:name="a_Timer">
    <w:panose1 w:val="02000603000000000000"/>
  </w:font>
  <w:font w:name="Liberation Sans">
    <w:panose1 w:val="020B0604020202020204"/>
  </w:font>
  <w:font w:name="Segoe UI">
    <w:panose1 w:val="020B0502040204020203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>
        <w:rPr>
          <w:sz w:val="12"/>
        </w:rPr>
      </w:r>
      <w:r>
        <w:rPr>
          <w:sz w:val="12"/>
        </w:rPr>
      </w:r>
    </w:p>
  </w:footnote>
  <w:footnote w:type="continuationSeparator" w:id="0">
    <w:p>
      <w:pPr>
        <w:rPr>
          <w:sz w:val="12"/>
        </w:rPr>
      </w:pPr>
      <w:r>
        <w:continuationSeparator/>
      </w:r>
      <w:r>
        <w:rPr>
          <w:sz w:val="12"/>
        </w:rPr>
      </w:r>
      <w:r>
        <w:rPr>
          <w:sz w:val="12"/>
        </w:rPr>
      </w:r>
    </w:p>
  </w:footnote>
  <w:footnote w:id="2">
    <w:p>
      <w:pPr>
        <w:pStyle w:val="822"/>
        <w:contextualSpacing/>
        <w:jc w:val="both"/>
        <w:spacing w:before="0" w:after="0" w:line="216" w:lineRule="auto"/>
      </w:pPr>
      <w:r>
        <w:rPr>
          <w:rStyle w:val="787"/>
        </w:rPr>
        <w:footnoteRef/>
      </w:r>
      <w:r>
        <w:t xml:space="preserve"> </w:t>
      </w:r>
      <w:r>
        <w:rPr>
          <w:sz w:val="18"/>
          <w:szCs w:val="18"/>
        </w:rPr>
        <w:t xml:space="preserve">Заполняется при подаче Заявки юридическим лицом, или лицом действующим на основании доверенности.</w:t>
      </w:r>
      <w:r/>
    </w:p>
  </w:footnote>
  <w:footnote w:id="3">
    <w:p>
      <w:pPr>
        <w:pStyle w:val="751"/>
        <w:jc w:val="both"/>
      </w:pPr>
      <w:r>
        <w:rPr>
          <w:rStyle w:val="787"/>
        </w:rPr>
        <w:footnoteRef/>
      </w:r>
      <w:r>
        <w:t xml:space="preserve"> </w:t>
      </w:r>
      <w:r>
        <w:rPr>
          <w:sz w:val="18"/>
          <w:szCs w:val="18"/>
        </w:rPr>
        <w:t xml:space="preserve">Заполняется при подаче Заявки лицом, действующим по доверенности.</w:t>
      </w:r>
      <w:r/>
    </w:p>
  </w:footnote>
  <w:footnote w:id="4">
    <w:p>
      <w:pPr>
        <w:pStyle w:val="822"/>
        <w:contextualSpacing/>
        <w:jc w:val="both"/>
        <w:spacing w:before="0" w:after="0" w:line="216" w:lineRule="auto"/>
      </w:pPr>
      <w:r>
        <w:rPr>
          <w:rStyle w:val="787"/>
        </w:rPr>
        <w:footnoteRef/>
      </w:r>
      <w:r>
        <w:t xml:space="preserve"> </w:t>
      </w:r>
      <w:r>
        <w:rPr>
          <w:sz w:val="18"/>
          <w:szCs w:val="18"/>
        </w:rPr>
        <w:t xml:space="preserve">Ознакомлен с Регламентом Оператора электронной площадки при регистрации (аккредитации) на электронной площадке</w:t>
      </w:r>
      <w:r>
        <w:rPr>
          <w:sz w:val="18"/>
          <w:szCs w:val="18"/>
        </w:rPr>
      </w:r>
      <w:r/>
    </w:p>
  </w:footnote>
  <w:footnote w:id="5">
    <w:p>
      <w:pPr>
        <w:pStyle w:val="822"/>
        <w:contextualSpacing/>
        <w:jc w:val="both"/>
        <w:spacing w:before="0" w:after="0" w:line="216" w:lineRule="auto"/>
      </w:pPr>
      <w:r>
        <w:rPr>
          <w:rStyle w:val="787"/>
        </w:rPr>
        <w:footnoteRef/>
      </w:r>
      <w:r>
        <w:t xml:space="preserve"> </w:t>
      </w:r>
      <w:r>
        <w:rPr>
          <w:sz w:val="18"/>
          <w:szCs w:val="18"/>
        </w:rPr>
        <w:t xml:space="preserve"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</w:t>
      </w:r>
      <w:r>
        <w:rPr>
          <w:sz w:val="18"/>
          <w:szCs w:val="18"/>
        </w:rPr>
        <w:t xml:space="preserve">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 209-ФЗ «О развитии малого и среднего предпринимательства в Российской Федерации».</w:t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246" w:hanging="1395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246" w:hanging="1395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46" w:hanging="1395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46" w:hanging="1395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46" w:hanging="1395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91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91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651" w:hanging="1800"/>
        <w:tabs>
          <w:tab w:val="num" w:pos="0" w:leader="none"/>
        </w:tabs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0" w:leader="none"/>
        </w:tabs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space"/>
      <w:lvlText w:val="%1.%2."/>
      <w:lvlJc w:val="left"/>
      <w:pPr>
        <w:ind w:left="357" w:firstLine="3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57" w:firstLine="363"/>
        <w:tabs>
          <w:tab w:val="num" w:pos="357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</w:lvl>
  </w:abstractNum>
  <w:abstractNum w:abstractNumId="4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57" w:firstLine="363"/>
        <w:tabs>
          <w:tab w:val="num" w:pos="357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246" w:hanging="1395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246" w:hanging="1395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46" w:hanging="1395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46" w:hanging="1395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46" w:hanging="1395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91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91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651" w:hanging="1800"/>
        <w:tabs>
          <w:tab w:val="num" w:pos="0" w:leader="none"/>
        </w:tabs>
      </w:pPr>
    </w:lvl>
  </w:abstractNum>
  <w:abstractNum w:abstractNumId="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0" w:leader="none"/>
        </w:tabs>
      </w:pPr>
    </w:lvl>
  </w:abstractNum>
  <w:abstractNum w:abstractNumId="1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space"/>
      <w:lvlText w:val="%1.%2."/>
      <w:lvlJc w:val="left"/>
      <w:pPr>
        <w:ind w:left="357" w:firstLine="3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57" w:firstLine="363"/>
        <w:tabs>
          <w:tab w:val="num" w:pos="357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</w:lvl>
  </w:abstractNum>
  <w:abstractNum w:abstractNumId="1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246" w:hanging="1395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246" w:hanging="1395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46" w:hanging="1395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46" w:hanging="1395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46" w:hanging="1395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91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91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651" w:hanging="1800"/>
        <w:tabs>
          <w:tab w:val="num" w:pos="0" w:leader="none"/>
        </w:tabs>
      </w:pPr>
    </w:lvl>
  </w:abstractNum>
  <w:abstractNum w:abstractNumId="1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0" w:leader="none"/>
        </w:tabs>
      </w:pPr>
    </w:lvl>
  </w:abstractNum>
  <w:abstractNum w:abstractNumId="1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6">
    <w:name w:val="Heading 1 Char"/>
    <w:basedOn w:val="761"/>
    <w:link w:val="752"/>
    <w:uiPriority w:val="9"/>
    <w:rPr>
      <w:rFonts w:ascii="Arial" w:hAnsi="Arial" w:eastAsia="Arial" w:cs="Arial"/>
      <w:sz w:val="40"/>
      <w:szCs w:val="40"/>
    </w:rPr>
  </w:style>
  <w:style w:type="character" w:styleId="737">
    <w:name w:val="Heading 2 Char"/>
    <w:basedOn w:val="761"/>
    <w:link w:val="753"/>
    <w:uiPriority w:val="9"/>
    <w:rPr>
      <w:rFonts w:ascii="Arial" w:hAnsi="Arial" w:eastAsia="Arial" w:cs="Arial"/>
      <w:sz w:val="34"/>
    </w:rPr>
  </w:style>
  <w:style w:type="character" w:styleId="738">
    <w:name w:val="Heading 3 Char"/>
    <w:basedOn w:val="761"/>
    <w:link w:val="754"/>
    <w:uiPriority w:val="9"/>
    <w:rPr>
      <w:rFonts w:ascii="Arial" w:hAnsi="Arial" w:eastAsia="Arial" w:cs="Arial"/>
      <w:sz w:val="30"/>
      <w:szCs w:val="30"/>
    </w:rPr>
  </w:style>
  <w:style w:type="character" w:styleId="739">
    <w:name w:val="Heading 4 Char"/>
    <w:basedOn w:val="761"/>
    <w:link w:val="755"/>
    <w:uiPriority w:val="9"/>
    <w:rPr>
      <w:rFonts w:ascii="Arial" w:hAnsi="Arial" w:eastAsia="Arial" w:cs="Arial"/>
      <w:b/>
      <w:bCs/>
      <w:sz w:val="26"/>
      <w:szCs w:val="26"/>
    </w:rPr>
  </w:style>
  <w:style w:type="character" w:styleId="740">
    <w:name w:val="Heading 5 Char"/>
    <w:basedOn w:val="761"/>
    <w:link w:val="756"/>
    <w:uiPriority w:val="9"/>
    <w:rPr>
      <w:rFonts w:ascii="Arial" w:hAnsi="Arial" w:eastAsia="Arial" w:cs="Arial"/>
      <w:b/>
      <w:bCs/>
      <w:sz w:val="24"/>
      <w:szCs w:val="24"/>
    </w:rPr>
  </w:style>
  <w:style w:type="character" w:styleId="741">
    <w:name w:val="Heading 6 Char"/>
    <w:basedOn w:val="761"/>
    <w:link w:val="757"/>
    <w:uiPriority w:val="9"/>
    <w:rPr>
      <w:rFonts w:ascii="Arial" w:hAnsi="Arial" w:eastAsia="Arial" w:cs="Arial"/>
      <w:b/>
      <w:bCs/>
      <w:sz w:val="22"/>
      <w:szCs w:val="22"/>
    </w:rPr>
  </w:style>
  <w:style w:type="character" w:styleId="742">
    <w:name w:val="Heading 7 Char"/>
    <w:basedOn w:val="761"/>
    <w:link w:val="7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3">
    <w:name w:val="Heading 8 Char"/>
    <w:basedOn w:val="761"/>
    <w:link w:val="759"/>
    <w:uiPriority w:val="9"/>
    <w:rPr>
      <w:rFonts w:ascii="Arial" w:hAnsi="Arial" w:eastAsia="Arial" w:cs="Arial"/>
      <w:i/>
      <w:iCs/>
      <w:sz w:val="22"/>
      <w:szCs w:val="22"/>
    </w:rPr>
  </w:style>
  <w:style w:type="character" w:styleId="744">
    <w:name w:val="Heading 9 Char"/>
    <w:basedOn w:val="761"/>
    <w:link w:val="760"/>
    <w:uiPriority w:val="9"/>
    <w:rPr>
      <w:rFonts w:ascii="Arial" w:hAnsi="Arial" w:eastAsia="Arial" w:cs="Arial"/>
      <w:i/>
      <w:iCs/>
      <w:sz w:val="21"/>
      <w:szCs w:val="21"/>
    </w:rPr>
  </w:style>
  <w:style w:type="character" w:styleId="745">
    <w:name w:val="Title Char"/>
    <w:basedOn w:val="761"/>
    <w:link w:val="796"/>
    <w:uiPriority w:val="10"/>
    <w:rPr>
      <w:sz w:val="48"/>
      <w:szCs w:val="48"/>
    </w:rPr>
  </w:style>
  <w:style w:type="character" w:styleId="746">
    <w:name w:val="Subtitle Char"/>
    <w:basedOn w:val="761"/>
    <w:link w:val="797"/>
    <w:uiPriority w:val="11"/>
    <w:rPr>
      <w:sz w:val="24"/>
      <w:szCs w:val="24"/>
    </w:rPr>
  </w:style>
  <w:style w:type="character" w:styleId="747">
    <w:name w:val="Quote Char"/>
    <w:link w:val="798"/>
    <w:uiPriority w:val="29"/>
    <w:rPr>
      <w:i/>
    </w:rPr>
  </w:style>
  <w:style w:type="character" w:styleId="748">
    <w:name w:val="Intense Quote Char"/>
    <w:link w:val="799"/>
    <w:uiPriority w:val="30"/>
    <w:rPr>
      <w:i/>
    </w:rPr>
  </w:style>
  <w:style w:type="character" w:styleId="749">
    <w:name w:val="Endnote Text Char"/>
    <w:link w:val="801"/>
    <w:uiPriority w:val="99"/>
    <w:rPr>
      <w:sz w:val="20"/>
    </w:rPr>
  </w:style>
  <w:style w:type="paragraph" w:styleId="750">
    <w:name w:val="toc 2"/>
    <w:basedOn w:val="751"/>
    <w:next w:val="751"/>
    <w:uiPriority w:val="39"/>
    <w:unhideWhenUsed/>
    <w:pPr>
      <w:ind w:left="283" w:right="0" w:firstLine="0"/>
      <w:spacing w:after="57"/>
    </w:pPr>
  </w:style>
  <w:style w:type="paragraph" w:styleId="751" w:default="1">
    <w:name w:val="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752">
    <w:name w:val="Heading 1"/>
    <w:basedOn w:val="751"/>
    <w:next w:val="751"/>
    <w:link w:val="82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53">
    <w:name w:val="Heading 2"/>
    <w:basedOn w:val="751"/>
    <w:next w:val="751"/>
    <w:link w:val="76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54">
    <w:name w:val="Heading 3"/>
    <w:basedOn w:val="751"/>
    <w:next w:val="751"/>
    <w:link w:val="82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55">
    <w:name w:val="Heading 4"/>
    <w:basedOn w:val="751"/>
    <w:next w:val="751"/>
    <w:link w:val="83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6">
    <w:name w:val="Heading 5"/>
    <w:basedOn w:val="751"/>
    <w:next w:val="751"/>
    <w:link w:val="83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57">
    <w:name w:val="Heading 6"/>
    <w:basedOn w:val="751"/>
    <w:next w:val="751"/>
    <w:link w:val="76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58">
    <w:name w:val="Heading 7"/>
    <w:basedOn w:val="751"/>
    <w:next w:val="751"/>
    <w:link w:val="76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9">
    <w:name w:val="Heading 8"/>
    <w:basedOn w:val="751"/>
    <w:next w:val="751"/>
    <w:link w:val="76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60">
    <w:name w:val="Heading 9"/>
    <w:basedOn w:val="751"/>
    <w:next w:val="751"/>
    <w:link w:val="76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1" w:default="1">
    <w:name w:val="Default Paragraph Font"/>
    <w:uiPriority w:val="1"/>
    <w:semiHidden/>
    <w:unhideWhenUsed/>
    <w:qFormat/>
  </w:style>
  <w:style w:type="character" w:styleId="762" w:customStyle="1">
    <w:name w:val="Заголовок 2 Знак"/>
    <w:basedOn w:val="761"/>
    <w:uiPriority w:val="9"/>
    <w:qFormat/>
    <w:rPr>
      <w:rFonts w:ascii="Arial" w:hAnsi="Arial" w:eastAsia="Arial" w:cs="Arial"/>
      <w:sz w:val="34"/>
    </w:rPr>
  </w:style>
  <w:style w:type="character" w:styleId="763" w:customStyle="1">
    <w:name w:val="Заголовок 6 Знак"/>
    <w:basedOn w:val="76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64" w:customStyle="1">
    <w:name w:val="Заголовок 7 Знак"/>
    <w:basedOn w:val="761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65" w:customStyle="1">
    <w:name w:val="Заголовок 8 Знак"/>
    <w:basedOn w:val="761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66" w:customStyle="1">
    <w:name w:val="Заголовок 9 Знак"/>
    <w:basedOn w:val="761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67" w:customStyle="1">
    <w:name w:val="Заголовок Знак"/>
    <w:basedOn w:val="761"/>
    <w:uiPriority w:val="10"/>
    <w:qFormat/>
    <w:rPr>
      <w:sz w:val="48"/>
      <w:szCs w:val="48"/>
    </w:rPr>
  </w:style>
  <w:style w:type="character" w:styleId="768" w:customStyle="1">
    <w:name w:val="Подзаголовок Знак"/>
    <w:basedOn w:val="761"/>
    <w:uiPriority w:val="11"/>
    <w:qFormat/>
    <w:rPr>
      <w:sz w:val="24"/>
      <w:szCs w:val="24"/>
    </w:rPr>
  </w:style>
  <w:style w:type="character" w:styleId="769" w:customStyle="1">
    <w:name w:val="Цитата 2 Знак"/>
    <w:link w:val="798"/>
    <w:uiPriority w:val="29"/>
    <w:qFormat/>
    <w:rPr>
      <w:i/>
    </w:rPr>
  </w:style>
  <w:style w:type="character" w:styleId="770" w:customStyle="1">
    <w:name w:val="Выделенная цитата Знак"/>
    <w:link w:val="799"/>
    <w:uiPriority w:val="30"/>
    <w:qFormat/>
    <w:rPr>
      <w:i/>
    </w:rPr>
  </w:style>
  <w:style w:type="character" w:styleId="771" w:customStyle="1">
    <w:name w:val="Header Char"/>
    <w:basedOn w:val="761"/>
    <w:uiPriority w:val="99"/>
    <w:qFormat/>
  </w:style>
  <w:style w:type="character" w:styleId="772" w:customStyle="1">
    <w:name w:val="Footer Char"/>
    <w:basedOn w:val="761"/>
    <w:uiPriority w:val="99"/>
    <w:qFormat/>
  </w:style>
  <w:style w:type="character" w:styleId="773" w:customStyle="1">
    <w:name w:val="Caption Char"/>
    <w:uiPriority w:val="99"/>
    <w:qFormat/>
  </w:style>
  <w:style w:type="character" w:styleId="774" w:customStyle="1">
    <w:name w:val="Footnote Text Char"/>
    <w:uiPriority w:val="99"/>
    <w:qFormat/>
    <w:rPr>
      <w:sz w:val="18"/>
    </w:rPr>
  </w:style>
  <w:style w:type="character" w:styleId="775" w:customStyle="1">
    <w:name w:val="Текст концевой сноски Знак"/>
    <w:uiPriority w:val="99"/>
    <w:qFormat/>
    <w:rPr>
      <w:sz w:val="20"/>
    </w:rPr>
  </w:style>
  <w:style w:type="character" w:styleId="776">
    <w:name w:val="Символ концевой сноски"/>
    <w:basedOn w:val="761"/>
    <w:uiPriority w:val="99"/>
    <w:semiHidden/>
    <w:unhideWhenUsed/>
    <w:qFormat/>
    <w:rPr>
      <w:vertAlign w:val="superscript"/>
    </w:rPr>
  </w:style>
  <w:style w:type="character" w:styleId="777">
    <w:name w:val="endnote reference"/>
    <w:rPr>
      <w:vertAlign w:val="superscript"/>
    </w:rPr>
  </w:style>
  <w:style w:type="character" w:styleId="778">
    <w:name w:val="FollowedHyperlink"/>
    <w:basedOn w:val="761"/>
    <w:uiPriority w:val="99"/>
    <w:unhideWhenUsed/>
    <w:qFormat/>
    <w:rPr>
      <w:color w:val="800080"/>
      <w:u w:val="single"/>
    </w:rPr>
  </w:style>
  <w:style w:type="character" w:styleId="779">
    <w:name w:val="Hyperlink"/>
    <w:basedOn w:val="761"/>
    <w:uiPriority w:val="99"/>
    <w:unhideWhenUsed/>
    <w:qFormat/>
    <w:rPr>
      <w:color w:val="0000ff"/>
      <w:u w:val="single"/>
    </w:rPr>
  </w:style>
  <w:style w:type="character" w:styleId="780">
    <w:name w:val="Strong"/>
    <w:basedOn w:val="761"/>
    <w:qFormat/>
    <w:rPr>
      <w:rFonts w:cs="Times New Roman"/>
      <w:b/>
      <w:bCs/>
    </w:rPr>
  </w:style>
  <w:style w:type="character" w:styleId="781" w:customStyle="1">
    <w:name w:val="Верхний колонтитул Знак"/>
    <w:basedOn w:val="761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82" w:customStyle="1">
    <w:name w:val="Нижний колонтитул Знак"/>
    <w:basedOn w:val="761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83" w:customStyle="1">
    <w:name w:val="10"/>
    <w:basedOn w:val="761"/>
    <w:qFormat/>
    <w:rPr>
      <w:rFonts w:ascii="Times New Roman" w:hAnsi="Times New Roman" w:cs="Times New Roman"/>
    </w:rPr>
  </w:style>
  <w:style w:type="character" w:styleId="784" w:customStyle="1">
    <w:name w:val="15"/>
    <w:basedOn w:val="761"/>
    <w:qFormat/>
    <w:rPr>
      <w:rFonts w:ascii="Times New Roman" w:hAnsi="Times New Roman" w:cs="Times New Roman"/>
      <w:color w:val="0000ff"/>
      <w:u w:val="single"/>
    </w:rPr>
  </w:style>
  <w:style w:type="character" w:styleId="785" w:customStyle="1">
    <w:name w:val="16"/>
    <w:basedOn w:val="761"/>
    <w:qFormat/>
    <w:rPr>
      <w:rFonts w:ascii="Times New Roman" w:hAnsi="Times New Roman" w:cs="Times New Roman"/>
    </w:rPr>
  </w:style>
  <w:style w:type="character" w:styleId="786" w:customStyle="1">
    <w:name w:val="rts-text"/>
    <w:basedOn w:val="761"/>
    <w:qFormat/>
  </w:style>
  <w:style w:type="character" w:styleId="787">
    <w:name w:val="Символ сноски"/>
    <w:qFormat/>
    <w:rPr>
      <w:vertAlign w:val="superscript"/>
    </w:rPr>
  </w:style>
  <w:style w:type="character" w:styleId="788">
    <w:name w:val="footnote reference"/>
    <w:rPr>
      <w:vertAlign w:val="superscript"/>
    </w:rPr>
  </w:style>
  <w:style w:type="character" w:styleId="789" w:customStyle="1">
    <w:name w:val="Текст сноски Знак"/>
    <w:basedOn w:val="761"/>
    <w:qFormat/>
    <w:rPr>
      <w:rFonts w:ascii="Times New Roman" w:hAnsi="Times New Roman" w:eastAsia="Times New Roman" w:cs="Times New Roman"/>
      <w:lang w:eastAsia="zh-CN"/>
    </w:rPr>
  </w:style>
  <w:style w:type="character" w:styleId="790" w:customStyle="1">
    <w:name w:val="Текст выноски Знак"/>
    <w:basedOn w:val="761"/>
    <w:link w:val="823"/>
    <w:uiPriority w:val="99"/>
    <w:semiHidden/>
    <w:qFormat/>
    <w:rPr>
      <w:rFonts w:ascii="Segoe UI" w:hAnsi="Segoe UI" w:eastAsia="Times New Roman" w:cs="Segoe UI"/>
      <w:sz w:val="18"/>
      <w:szCs w:val="18"/>
    </w:rPr>
  </w:style>
  <w:style w:type="paragraph" w:styleId="791">
    <w:name w:val="Заголовок"/>
    <w:basedOn w:val="751"/>
    <w:next w:val="792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792">
    <w:name w:val="Body Text"/>
    <w:basedOn w:val="751"/>
    <w:pPr>
      <w:spacing w:before="0" w:after="140" w:line="276" w:lineRule="auto"/>
    </w:pPr>
  </w:style>
  <w:style w:type="paragraph" w:styleId="793">
    <w:name w:val="List"/>
    <w:basedOn w:val="792"/>
    <w:rPr>
      <w:rFonts w:cs="Mangal"/>
    </w:rPr>
  </w:style>
  <w:style w:type="paragraph" w:styleId="794">
    <w:name w:val="Caption"/>
    <w:basedOn w:val="751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95">
    <w:name w:val="Указатель"/>
    <w:basedOn w:val="751"/>
    <w:qFormat/>
    <w:pPr>
      <w:suppressLineNumbers/>
    </w:pPr>
    <w:rPr>
      <w:rFonts w:cs="Mangal"/>
    </w:rPr>
  </w:style>
  <w:style w:type="paragraph" w:styleId="796">
    <w:name w:val="Title"/>
    <w:basedOn w:val="751"/>
    <w:next w:val="751"/>
    <w:link w:val="767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97">
    <w:name w:val="Subtitle"/>
    <w:basedOn w:val="751"/>
    <w:next w:val="751"/>
    <w:link w:val="768"/>
    <w:uiPriority w:val="11"/>
    <w:qFormat/>
    <w:pPr>
      <w:spacing w:before="200" w:after="200"/>
    </w:pPr>
  </w:style>
  <w:style w:type="paragraph" w:styleId="798">
    <w:name w:val="Quote"/>
    <w:basedOn w:val="751"/>
    <w:next w:val="751"/>
    <w:link w:val="769"/>
    <w:uiPriority w:val="29"/>
    <w:qFormat/>
    <w:pPr>
      <w:ind w:left="720" w:right="720" w:firstLine="0"/>
    </w:pPr>
    <w:rPr>
      <w:i/>
    </w:rPr>
  </w:style>
  <w:style w:type="paragraph" w:styleId="799">
    <w:name w:val="Intense Quote"/>
    <w:basedOn w:val="751"/>
    <w:next w:val="751"/>
    <w:link w:val="770"/>
    <w:uiPriority w:val="30"/>
    <w:qFormat/>
    <w:pPr>
      <w:ind w:left="720" w:right="720" w:firstLine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00">
    <w:name w:val="Caption"/>
    <w:basedOn w:val="751"/>
    <w:next w:val="7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01">
    <w:name w:val="endnote text"/>
    <w:basedOn w:val="751"/>
    <w:link w:val="775"/>
    <w:uiPriority w:val="99"/>
    <w:semiHidden/>
    <w:unhideWhenUsed/>
    <w:rPr>
      <w:sz w:val="20"/>
    </w:rPr>
  </w:style>
  <w:style w:type="paragraph" w:styleId="802">
    <w:name w:val="toc 1"/>
    <w:basedOn w:val="751"/>
    <w:next w:val="751"/>
    <w:uiPriority w:val="39"/>
    <w:unhideWhenUsed/>
    <w:pPr>
      <w:spacing w:before="0" w:after="57"/>
    </w:pPr>
  </w:style>
  <w:style w:type="paragraph" w:styleId="803">
    <w:name w:val="toc 3"/>
    <w:basedOn w:val="751"/>
    <w:next w:val="751"/>
    <w:uiPriority w:val="39"/>
    <w:unhideWhenUsed/>
    <w:pPr>
      <w:ind w:left="567" w:firstLine="0"/>
      <w:spacing w:before="0" w:after="57"/>
    </w:pPr>
  </w:style>
  <w:style w:type="paragraph" w:styleId="804">
    <w:name w:val="toc 4"/>
    <w:basedOn w:val="751"/>
    <w:next w:val="751"/>
    <w:uiPriority w:val="39"/>
    <w:unhideWhenUsed/>
    <w:pPr>
      <w:ind w:left="850" w:firstLine="0"/>
      <w:spacing w:before="0" w:after="57"/>
    </w:pPr>
  </w:style>
  <w:style w:type="paragraph" w:styleId="805">
    <w:name w:val="toc 5"/>
    <w:basedOn w:val="751"/>
    <w:next w:val="751"/>
    <w:uiPriority w:val="39"/>
    <w:unhideWhenUsed/>
    <w:pPr>
      <w:ind w:left="1134" w:firstLine="0"/>
      <w:spacing w:before="0" w:after="57"/>
    </w:pPr>
  </w:style>
  <w:style w:type="paragraph" w:styleId="806">
    <w:name w:val="toc 6"/>
    <w:basedOn w:val="751"/>
    <w:next w:val="751"/>
    <w:uiPriority w:val="39"/>
    <w:unhideWhenUsed/>
    <w:pPr>
      <w:ind w:left="1417" w:firstLine="0"/>
      <w:spacing w:before="0" w:after="57"/>
    </w:pPr>
  </w:style>
  <w:style w:type="paragraph" w:styleId="807">
    <w:name w:val="toc 7"/>
    <w:basedOn w:val="751"/>
    <w:next w:val="751"/>
    <w:uiPriority w:val="39"/>
    <w:unhideWhenUsed/>
    <w:pPr>
      <w:ind w:left="1701" w:firstLine="0"/>
      <w:spacing w:before="0" w:after="57"/>
    </w:pPr>
  </w:style>
  <w:style w:type="paragraph" w:styleId="808">
    <w:name w:val="toc 8"/>
    <w:basedOn w:val="751"/>
    <w:next w:val="751"/>
    <w:uiPriority w:val="39"/>
    <w:unhideWhenUsed/>
    <w:pPr>
      <w:ind w:left="1984" w:firstLine="0"/>
      <w:spacing w:before="0" w:after="57"/>
    </w:pPr>
  </w:style>
  <w:style w:type="paragraph" w:styleId="809">
    <w:name w:val="toc 9"/>
    <w:basedOn w:val="751"/>
    <w:next w:val="751"/>
    <w:uiPriority w:val="39"/>
    <w:unhideWhenUsed/>
    <w:pPr>
      <w:ind w:left="2268" w:firstLine="0"/>
      <w:spacing w:before="0" w:after="57"/>
    </w:pPr>
  </w:style>
  <w:style w:type="paragraph" w:styleId="810">
    <w:name w:val="Index Heading"/>
    <w:basedOn w:val="791"/>
  </w:style>
  <w:style w:type="paragraph" w:styleId="811">
    <w:name w:val="TOC Heading"/>
    <w:uiPriority w:val="39"/>
    <w:unhideWhenUsed/>
    <w:pPr>
      <w:jc w:val="left"/>
      <w:spacing w:before="0" w:after="0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0"/>
      <w:szCs w:val="20"/>
      <w:lang w:val="ru-RU" w:eastAsia="ru-RU" w:bidi="ar-SA"/>
    </w:rPr>
  </w:style>
  <w:style w:type="paragraph" w:styleId="812">
    <w:name w:val="table of figures"/>
    <w:basedOn w:val="751"/>
    <w:next w:val="751"/>
    <w:uiPriority w:val="99"/>
    <w:unhideWhenUsed/>
    <w:qFormat/>
  </w:style>
  <w:style w:type="paragraph" w:styleId="813">
    <w:name w:val="Body Text Indent 3"/>
    <w:basedOn w:val="751"/>
    <w:uiPriority w:val="99"/>
    <w:unhideWhenUsed/>
    <w:qFormat/>
    <w:pPr>
      <w:ind w:left="283" w:firstLine="0"/>
      <w:spacing w:before="0" w:after="120"/>
    </w:pPr>
    <w:rPr>
      <w:sz w:val="16"/>
      <w:szCs w:val="16"/>
    </w:rPr>
  </w:style>
  <w:style w:type="paragraph" w:styleId="814">
    <w:name w:val="Колонтитул"/>
    <w:basedOn w:val="751"/>
    <w:qFormat/>
  </w:style>
  <w:style w:type="paragraph" w:styleId="815">
    <w:name w:val="Header"/>
    <w:basedOn w:val="751"/>
    <w:link w:val="781"/>
    <w:uiPriority w:val="99"/>
    <w:unhideWhenUsed/>
    <w:qFormat/>
  </w:style>
  <w:style w:type="paragraph" w:styleId="816">
    <w:name w:val="Footer"/>
    <w:basedOn w:val="751"/>
    <w:link w:val="782"/>
    <w:uiPriority w:val="99"/>
    <w:unhideWhenUsed/>
    <w:qFormat/>
  </w:style>
  <w:style w:type="paragraph" w:styleId="817">
    <w:name w:val="Normal (Web)"/>
    <w:basedOn w:val="751"/>
    <w:qFormat/>
    <w:pPr>
      <w:jc w:val="both"/>
      <w:spacing w:beforeAutospacing="1" w:afterAutospacing="1" w:line="360" w:lineRule="auto"/>
    </w:pPr>
    <w:rPr>
      <w:rFonts w:ascii="Verdana" w:hAnsi="Verdana"/>
      <w:color w:val="000000"/>
      <w:sz w:val="18"/>
      <w:szCs w:val="18"/>
    </w:rPr>
  </w:style>
  <w:style w:type="paragraph" w:styleId="818">
    <w:name w:val="No Spacing"/>
    <w:uiPriority w:val="1"/>
    <w:qFormat/>
    <w:pPr>
      <w:jc w:val="left"/>
      <w:spacing w:before="0" w:after="0"/>
      <w:widowControl/>
    </w:pPr>
    <w:rPr>
      <w:rFonts w:ascii="Calibri" w:hAnsi="Calibri" w:eastAsia="Times New Roman" w:cs="Times New Roman" w:asciiTheme="minorHAnsi" w:hAnsiTheme="minorHAnsi"/>
      <w:color w:val="auto"/>
      <w:sz w:val="22"/>
      <w:szCs w:val="22"/>
      <w:lang w:val="ru-RU" w:eastAsia="en-US" w:bidi="ar-SA"/>
    </w:rPr>
  </w:style>
  <w:style w:type="paragraph" w:styleId="819" w:customStyle="1">
    <w:name w:val="rezul"/>
    <w:basedOn w:val="751"/>
    <w:qFormat/>
    <w:pPr>
      <w:ind w:firstLine="283"/>
      <w:jc w:val="both"/>
      <w:widowControl w:val="off"/>
    </w:pPr>
    <w:rPr>
      <w:b/>
      <w:szCs w:val="20"/>
      <w:lang w:val="en-US"/>
    </w:rPr>
  </w:style>
  <w:style w:type="paragraph" w:styleId="820" w:customStyle="1">
    <w:name w:val="Заголов1"/>
    <w:basedOn w:val="751"/>
    <w:uiPriority w:val="99"/>
    <w:qFormat/>
    <w:pPr>
      <w:jc w:val="center"/>
      <w:widowControl w:val="off"/>
    </w:pPr>
    <w:rPr>
      <w:rFonts w:ascii="a_Timer" w:hAnsi="a_Timer" w:cs="a_Timer"/>
      <w:lang w:val="en-US"/>
    </w:rPr>
  </w:style>
  <w:style w:type="paragraph" w:styleId="821">
    <w:name w:val="List Paragraph"/>
    <w:basedOn w:val="751"/>
    <w:uiPriority w:val="99"/>
    <w:qFormat/>
    <w:pPr>
      <w:contextualSpacing/>
      <w:ind w:left="720" w:firstLine="0"/>
      <w:spacing w:before="0" w:after="0"/>
    </w:pPr>
  </w:style>
  <w:style w:type="paragraph" w:styleId="822">
    <w:name w:val="footnote text"/>
    <w:basedOn w:val="751"/>
    <w:link w:val="789"/>
    <w:rPr>
      <w:sz w:val="20"/>
      <w:szCs w:val="20"/>
      <w:lang w:eastAsia="zh-CN"/>
    </w:rPr>
  </w:style>
  <w:style w:type="paragraph" w:styleId="823">
    <w:name w:val="Balloon Text"/>
    <w:basedOn w:val="751"/>
    <w:link w:val="790"/>
    <w:uiPriority w:val="99"/>
    <w:semiHidden/>
    <w:unhideWhenUsed/>
    <w:qFormat/>
    <w:rPr>
      <w:rFonts w:ascii="Segoe UI" w:hAnsi="Segoe UI" w:cs="Segoe UI"/>
      <w:sz w:val="18"/>
      <w:szCs w:val="18"/>
    </w:rPr>
  </w:style>
  <w:style w:type="numbering" w:styleId="824" w:default="1">
    <w:name w:val="No List"/>
    <w:uiPriority w:val="99"/>
    <w:semiHidden/>
    <w:unhideWhenUsed/>
    <w:qFormat/>
  </w:style>
  <w:style w:type="table" w:styleId="825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826" w:customStyle="1">
    <w:name w:val="Table Grid Light"/>
    <w:basedOn w:val="82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27">
    <w:name w:val="Plain Table 1"/>
    <w:basedOn w:val="82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28">
    <w:name w:val="Plain Table 2"/>
    <w:basedOn w:val="825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29">
    <w:name w:val="Plain Table 3"/>
    <w:basedOn w:val="825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0">
    <w:name w:val="Plain Table 4"/>
    <w:basedOn w:val="825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Plain Table 5"/>
    <w:basedOn w:val="825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2">
    <w:name w:val="Grid Table 1 Light"/>
    <w:basedOn w:val="825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Grid Table 1 Light - Accent 1"/>
    <w:basedOn w:val="82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Grid Table 1 Light - Accent 2"/>
    <w:basedOn w:val="82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Grid Table 1 Light - Accent 3"/>
    <w:basedOn w:val="82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Grid Table 1 Light - Accent 4"/>
    <w:basedOn w:val="82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Grid Table 1 Light - Accent 5"/>
    <w:basedOn w:val="82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Grid Table 1 Light - Accent 6"/>
    <w:basedOn w:val="82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Grid Table 2"/>
    <w:basedOn w:val="82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2 - Accent 1"/>
    <w:basedOn w:val="82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2 - Accent 2"/>
    <w:basedOn w:val="82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2 - Accent 3"/>
    <w:basedOn w:val="82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2 - Accent 4"/>
    <w:basedOn w:val="82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2 - Accent 5"/>
    <w:basedOn w:val="82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2 - Accent 6"/>
    <w:basedOn w:val="82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3"/>
    <w:basedOn w:val="82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3 - Accent 1"/>
    <w:basedOn w:val="82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3 - Accent 2"/>
    <w:basedOn w:val="82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3 - Accent 3"/>
    <w:basedOn w:val="82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3 - Accent 4"/>
    <w:basedOn w:val="82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Grid Table 3 - Accent 5"/>
    <w:basedOn w:val="82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Grid Table 3 - Accent 6"/>
    <w:basedOn w:val="82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4"/>
    <w:basedOn w:val="825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4" w:customStyle="1">
    <w:name w:val="Grid Table 4 - Accent 1"/>
    <w:basedOn w:val="825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ce6f2" w:fill="dce6f2" w:themeFill="accent1" w:themeFillTint="32"/>
      </w:tcPr>
    </w:tblStylePr>
    <w:tblStylePr w:type="band1Vert">
      <w:rPr>
        <w:color w:val="404040"/>
        <w:sz w:val="22"/>
      </w:rPr>
      <w:tcPr>
        <w:shd w:val="clear" w:color="dce6f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5d8ac2" w:fill="5d8ac2" w:themeFill="accent1" w:themeFillTint="EA"/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sz="4" w:space="0"/>
        </w:tcBorders>
      </w:tcPr>
    </w:tblStylePr>
  </w:style>
  <w:style w:type="table" w:styleId="855" w:customStyle="1">
    <w:name w:val="Grid Table 4 - Accent 2"/>
    <w:basedOn w:val="825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sz="4" w:space="0"/>
        </w:tcBorders>
      </w:tcPr>
    </w:tblStylePr>
  </w:style>
  <w:style w:type="table" w:styleId="856" w:customStyle="1">
    <w:name w:val="Grid Table 4 - Accent 3"/>
    <w:basedOn w:val="825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abb59" w:fill="9abb59" w:themeFill="accent3" w:themeFillTint="FE"/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sz="4" w:space="0"/>
        </w:tcBorders>
      </w:tcPr>
    </w:tblStylePr>
  </w:style>
  <w:style w:type="table" w:styleId="857" w:customStyle="1">
    <w:name w:val="Grid Table 4 - Accent 4"/>
    <w:basedOn w:val="825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sz="4" w:space="0"/>
        </w:tcBorders>
      </w:tcPr>
    </w:tblStylePr>
  </w:style>
  <w:style w:type="table" w:styleId="858" w:customStyle="1">
    <w:name w:val="Grid Table 4 - Accent 5"/>
    <w:basedOn w:val="82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59" w:customStyle="1">
    <w:name w:val="Grid Table 4 - Accent 6"/>
    <w:basedOn w:val="825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60">
    <w:name w:val="Grid Table 5 Dark"/>
    <w:basedOn w:val="8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000000" w:fill="000000" w:themeFill="text1"/>
      </w:tc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861" w:customStyle="1">
    <w:name w:val="Grid Table 5 Dark- Accent 1"/>
    <w:basedOn w:val="8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4e0" w:fill="aec4e0" w:themeFill="accent1" w:themeFillTint="75"/>
      </w:tcPr>
    </w:tblStylePr>
    <w:tblStylePr w:type="band1Vert">
      <w:tcPr>
        <w:shd w:val="clear" w:color="aec4e0" w:fill="aec4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4f81bd" w:fill="4f81bd" w:themeFill="accent1"/>
      </w:tc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cPr>
        <w:shd w:val="clear" w:color="4f81bd" w:fill="4f81bd" w:themeFill="accent1"/>
        <w:tcBorders>
          <w:top w:val="single" w:color="FFFFFF" w:themeColor="light1" w:sz="4" w:space="0"/>
        </w:tcBorders>
      </w:tcPr>
    </w:tblStylePr>
  </w:style>
  <w:style w:type="table" w:styleId="862" w:customStyle="1">
    <w:name w:val="Grid Table 5 Dark - Accent 2"/>
    <w:basedOn w:val="8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fill="e2aead" w:themeFill="accent2" w:themeFillTint="75"/>
      </w:tcPr>
    </w:tblStylePr>
    <w:tblStylePr w:type="band1Vert">
      <w:tcPr>
        <w:shd w:val="clear" w:color="e2aead" w:fill="e2aead" w:themeFill="accent2" w:themeFillTint="75"/>
      </w:tcPr>
    </w:tblStylePr>
    <w:tblStylePr w:type="firstCol">
      <w:rPr>
        <w:b/>
        <w:color w:val="ffffff"/>
        <w:sz w:val="22"/>
      </w:rPr>
      <w:tcPr>
        <w:shd w:val="clear" w:color="c0504d" w:fill="c0504d" w:themeFill="accent2"/>
      </w:tc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cPr>
        <w:shd w:val="clear" w:color="c0504d" w:fill="c0504d" w:themeFill="accent2"/>
        <w:tcBorders>
          <w:top w:val="single" w:color="FFFFFF" w:themeColor="light1" w:sz="4" w:space="0"/>
        </w:tcBorders>
      </w:tcPr>
    </w:tblStylePr>
  </w:style>
  <w:style w:type="table" w:styleId="863" w:customStyle="1">
    <w:name w:val="Grid Table 5 Dark - Accent 3"/>
    <w:basedOn w:val="8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0dfb2" w:fill="d0dfb2" w:themeFill="accent3" w:themeFillTint="75"/>
      </w:tcPr>
    </w:tblStylePr>
    <w:tblStylePr w:type="band1Vert">
      <w:tcPr>
        <w:shd w:val="clear" w:color="d0dfb2" w:fill="d0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9bbb59" w:fill="9bbb59" w:themeFill="accent3"/>
      </w:tc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cPr>
        <w:shd w:val="clear" w:color="9bbb59" w:fill="9bbb59" w:themeFill="accent3"/>
        <w:tcBorders>
          <w:top w:val="single" w:color="FFFFFF" w:themeColor="light1" w:sz="4" w:space="0"/>
        </w:tcBorders>
      </w:tcPr>
    </w:tblStylePr>
  </w:style>
  <w:style w:type="table" w:styleId="864" w:customStyle="1">
    <w:name w:val="Grid Table 5 Dark- Accent 4"/>
    <w:basedOn w:val="8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fill="c4b7d4" w:themeFill="accent4" w:themeFillTint="75"/>
      </w:tcPr>
    </w:tblStylePr>
    <w:tblStylePr w:type="band1Vert">
      <w:tcPr>
        <w:shd w:val="clear" w:color="c4b7d4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8064a2" w:fill="8064a2" w:themeFill="accent4"/>
      </w:tc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cPr>
        <w:shd w:val="clear" w:color="8064a2" w:fill="8064a2" w:themeFill="accent4"/>
        <w:tcBorders>
          <w:top w:val="single" w:color="FFFFFF" w:themeColor="light1" w:sz="4" w:space="0"/>
        </w:tcBorders>
      </w:tcPr>
    </w:tblStylePr>
  </w:style>
  <w:style w:type="table" w:styleId="865" w:customStyle="1">
    <w:name w:val="Grid Table 5 Dark - Accent 5"/>
    <w:basedOn w:val="8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fill="acd8e4" w:themeFill="accent5" w:themeFillTint="75"/>
      </w:tcPr>
    </w:tblStylePr>
    <w:tblStylePr w:type="band1Vert">
      <w:tcPr>
        <w:shd w:val="clear" w:color="acd8e4" w:fill="acd8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4bacc6" w:fill="4bacc6" w:themeFill="accent5"/>
      </w:tc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cPr>
        <w:shd w:val="clear" w:color="4bacc6" w:fill="4bacc6" w:themeFill="accent5"/>
        <w:tcBorders>
          <w:top w:val="single" w:color="FFFFFF" w:themeColor="light1" w:sz="4" w:space="0"/>
        </w:tcBorders>
      </w:tcPr>
    </w:tblStylePr>
  </w:style>
  <w:style w:type="table" w:styleId="866" w:customStyle="1">
    <w:name w:val="Grid Table 5 Dark - Accent 6"/>
    <w:basedOn w:val="8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fill="fbceaa" w:themeFill="accent6" w:themeFillTint="75"/>
      </w:tcPr>
    </w:tblStylePr>
    <w:tblStylePr w:type="band1Vert">
      <w:tcPr>
        <w:shd w:val="clear" w:color="fbceaa" w:fill="fbceaa" w:themeFill="accent6" w:themeFillTint="75"/>
      </w:tcPr>
    </w:tblStylePr>
    <w:tblStylePr w:type="firstCol">
      <w:rPr>
        <w:b/>
        <w:color w:val="ffffff"/>
        <w:sz w:val="22"/>
      </w:rPr>
      <w:tcPr>
        <w:shd w:val="clear" w:color="f79646" w:fill="f79646" w:themeFill="accent6"/>
      </w:tc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cPr>
        <w:shd w:val="clear" w:color="f79646" w:fill="f79646" w:themeFill="accent6"/>
        <w:tcBorders>
          <w:top w:val="single" w:color="FFFFFF" w:themeColor="light1" w:sz="4" w:space="0"/>
        </w:tcBorders>
      </w:tcPr>
    </w:tblStylePr>
  </w:style>
  <w:style w:type="table" w:styleId="867">
    <w:name w:val="Grid Table 6 Colorful"/>
    <w:basedOn w:val="825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68" w:customStyle="1">
    <w:name w:val="Grid Table 6 Colorful - Accent 1"/>
    <w:basedOn w:val="825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69" w:customStyle="1">
    <w:name w:val="Grid Table 6 Colorful - Accent 2"/>
    <w:basedOn w:val="82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70" w:customStyle="1">
    <w:name w:val="Grid Table 6 Colorful - Accent 3"/>
    <w:basedOn w:val="825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71" w:customStyle="1">
    <w:name w:val="Grid Table 6 Colorful - Accent 4"/>
    <w:basedOn w:val="82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72" w:customStyle="1">
    <w:name w:val="Grid Table 6 Colorful - Accent 5"/>
    <w:basedOn w:val="82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3" w:customStyle="1">
    <w:name w:val="Grid Table 6 Colorful - Accent 6"/>
    <w:basedOn w:val="825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4">
    <w:name w:val="Grid Table 7 Colorful"/>
    <w:basedOn w:val="825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5" w:customStyle="1">
    <w:name w:val="Grid Table 7 Colorful - Accent 1"/>
    <w:basedOn w:val="825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sz="4" w:space="0"/>
        </w:tcBorders>
      </w:tcPr>
    </w:tblStylePr>
    <w:tblStylePr w:type="fir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sz="4" w:space="0"/>
          <w:right w:val="none" w:color="000000" w:sz="0" w:space="0"/>
        </w:tcBorders>
      </w:tcPr>
    </w:tblStylePr>
    <w:tblStylePr w:type="lastCol">
      <w:rPr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single" w:color="A6BFD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6" w:customStyle="1">
    <w:name w:val="Grid Table 7 Colorful - Accent 2"/>
    <w:basedOn w:val="825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sz="4" w:space="0"/>
        </w:tcBorders>
      </w:tcPr>
    </w:tblStylePr>
    <w:tblStylePr w:type="fir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sz="4" w:space="0"/>
          <w:right w:val="none" w:color="000000" w:sz="0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7" w:customStyle="1">
    <w:name w:val="Grid Table 7 Colorful - Accent 3"/>
    <w:basedOn w:val="825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sz="4" w:space="0"/>
        </w:tcBorders>
      </w:tcPr>
    </w:tblStylePr>
    <w:tblStylePr w:type="fir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sz="4" w:space="0"/>
          <w:right w:val="none" w:color="000000" w:sz="0" w:space="0"/>
        </w:tcBorders>
      </w:tcPr>
    </w:tblStylePr>
    <w:tblStylePr w:type="lastCol">
      <w:rPr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single" w:color="9ABB59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8" w:customStyle="1">
    <w:name w:val="Grid Table 7 Colorful - Accent 4"/>
    <w:basedOn w:val="825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sz="4" w:space="0"/>
        </w:tcBorders>
      </w:tcPr>
    </w:tblStylePr>
    <w:tblStylePr w:type="fir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sz="4" w:space="0"/>
          <w:right w:val="none" w:color="000000" w:sz="0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9" w:customStyle="1">
    <w:name w:val="Grid Table 7 Colorful - Accent 5"/>
    <w:basedOn w:val="82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sz="4" w:space="0"/>
        </w:tcBorders>
      </w:tcPr>
    </w:tblStylePr>
    <w:tblStylePr w:type="fir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sz="4" w:space="0"/>
          <w:right w:val="none" w:color="000000" w:sz="0" w:space="0"/>
        </w:tcBorders>
      </w:tcPr>
    </w:tblStylePr>
    <w:tblStylePr w:type="lastCol">
      <w:rPr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single" w:color="99D0DE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0" w:customStyle="1">
    <w:name w:val="Grid Table 7 Colorful - Accent 6"/>
    <w:basedOn w:val="825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color w:val="b15407" w:themeColor="accent6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  <w:tblStylePr w:type="firstCol">
      <w:rPr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sz="4" w:space="0"/>
        </w:tcBorders>
      </w:tcPr>
    </w:tblStylePr>
    <w:tblStylePr w:type="fir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sz="4" w:space="0"/>
          <w:right w:val="none" w:color="000000" w:sz="0" w:space="0"/>
        </w:tcBorders>
      </w:tcPr>
    </w:tblStylePr>
    <w:tblStylePr w:type="lastCol">
      <w:rPr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single" w:color="FAC396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1">
    <w:name w:val="List Table 1 Light"/>
    <w:basedOn w:val="825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List Table 1 Light - Accent 1"/>
    <w:basedOn w:val="825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List Table 1 Light - Accent 2"/>
    <w:basedOn w:val="825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List Table 1 Light - Accent 3"/>
    <w:basedOn w:val="825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List Table 1 Light - Accent 4"/>
    <w:basedOn w:val="825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st Table 1 Light - Accent 5"/>
    <w:basedOn w:val="825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st Table 1 Light - Accent 6"/>
    <w:basedOn w:val="825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List Table 2"/>
    <w:basedOn w:val="825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styleId="889" w:customStyle="1">
    <w:name w:val="List Table 2 - Accent 1"/>
    <w:basedOn w:val="825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</w:style>
  <w:style w:type="table" w:styleId="890" w:customStyle="1">
    <w:name w:val="List Table 2 - Accent 2"/>
    <w:basedOn w:val="825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</w:style>
  <w:style w:type="table" w:styleId="891" w:customStyle="1">
    <w:name w:val="List Table 2 - Accent 3"/>
    <w:basedOn w:val="825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</w:style>
  <w:style w:type="table" w:styleId="892" w:customStyle="1">
    <w:name w:val="List Table 2 - Accent 4"/>
    <w:basedOn w:val="825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</w:style>
  <w:style w:type="table" w:styleId="893" w:customStyle="1">
    <w:name w:val="List Table 2 - Accent 5"/>
    <w:basedOn w:val="82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</w:style>
  <w:style w:type="table" w:styleId="894" w:customStyle="1">
    <w:name w:val="List Table 2 - Accent 6"/>
    <w:basedOn w:val="825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</w:style>
  <w:style w:type="table" w:styleId="895">
    <w:name w:val="List Table 3"/>
    <w:basedOn w:val="82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List Table 3 - Accent 1"/>
    <w:basedOn w:val="825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 w:customStyle="1">
    <w:name w:val="List Table 3 - Accent 2"/>
    <w:basedOn w:val="82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List Table 3 - Accent 3"/>
    <w:basedOn w:val="825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3d69b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 w:customStyle="1">
    <w:name w:val="List Table 3 - Accent 4"/>
    <w:basedOn w:val="82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List Table 3 - Accent 5"/>
    <w:basedOn w:val="82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2ccdc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List Table 3 - Accent 6"/>
    <w:basedOn w:val="825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ac090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>
    <w:name w:val="List Table 4"/>
    <w:basedOn w:val="82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List Table 4 - Accent 1"/>
    <w:basedOn w:val="825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 w:customStyle="1">
    <w:name w:val="List Table 4 - Accent 2"/>
    <w:basedOn w:val="825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 w:customStyle="1">
    <w:name w:val="List Table 4 - Accent 3"/>
    <w:basedOn w:val="825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 w:customStyle="1">
    <w:name w:val="List Table 4 - Accent 4"/>
    <w:basedOn w:val="825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 w:customStyle="1">
    <w:name w:val="List Table 4 - Accent 5"/>
    <w:basedOn w:val="82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 w:customStyle="1">
    <w:name w:val="List Table 4 - Accent 6"/>
    <w:basedOn w:val="825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>
    <w:name w:val="List Table 5 Dark"/>
    <w:basedOn w:val="825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7F7F7F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0" w:customStyle="1">
    <w:name w:val="List Table 5 Dark - Accent 1"/>
    <w:basedOn w:val="825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4f81bd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1" w:customStyle="1">
    <w:name w:val="List Table 5 Dark - Accent 2"/>
    <w:basedOn w:val="825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band1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d99695" w:fill="d99695" w:themeFill="accent2" w:themeFillTint="97"/>
        <w:tcBorders>
          <w:top w:val="single" w:color="D99695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2" w:customStyle="1">
    <w:name w:val="List Table 5 Dark - Accent 3"/>
    <w:basedOn w:val="825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band1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3d69b" w:fill="c3d69b" w:themeFill="accent3" w:themeFillTint="98"/>
        <w:tcBorders>
          <w:top w:val="single" w:color="C3D69B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3" w:customStyle="1">
    <w:name w:val="List Table 5 Dark - Accent 4"/>
    <w:basedOn w:val="825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b2a1c6" w:fill="b2a1c6" w:themeFill="accent4" w:themeFillTint="9A"/>
        <w:tcBorders>
          <w:top w:val="single" w:color="B2A1C6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4" w:customStyle="1">
    <w:name w:val="List Table 5 Dark - Accent 5"/>
    <w:basedOn w:val="82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92ccdc" w:fill="92ccdc" w:themeFill="accent5" w:themeFillTint="9A"/>
        <w:tcBorders>
          <w:top w:val="single" w:color="92CCDC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5" w:customStyle="1">
    <w:name w:val="List Table 5 Dark - Accent 6"/>
    <w:basedOn w:val="825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ac090" w:fill="fac090" w:themeFill="accent6" w:themeFillTint="98"/>
        <w:tcBorders>
          <w:top w:val="single" w:color="FAC090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6">
    <w:name w:val="List Table 6 Colorful"/>
    <w:basedOn w:val="825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sz="4" w:space="0"/>
        </w:tcBorders>
      </w:tcPr>
    </w:tblStylePr>
  </w:style>
  <w:style w:type="table" w:styleId="917" w:customStyle="1">
    <w:name w:val="List Table 6 Colorful - Accent 1"/>
    <w:basedOn w:val="825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18" w:customStyle="1">
    <w:name w:val="List Table 6 Colorful - Accent 2"/>
    <w:basedOn w:val="825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sz="4" w:space="0"/>
        </w:tcBorders>
      </w:tcPr>
    </w:tblStylePr>
  </w:style>
  <w:style w:type="table" w:styleId="919" w:customStyle="1">
    <w:name w:val="List Table 6 Colorful - Accent 3"/>
    <w:basedOn w:val="825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sz="4" w:space="0"/>
        </w:tcBorders>
      </w:tcPr>
    </w:tblStylePr>
  </w:style>
  <w:style w:type="table" w:styleId="920" w:customStyle="1">
    <w:name w:val="List Table 6 Colorful - Accent 4"/>
    <w:basedOn w:val="825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sz="4" w:space="0"/>
        </w:tcBorders>
      </w:tcPr>
    </w:tblStylePr>
  </w:style>
  <w:style w:type="table" w:styleId="921" w:customStyle="1">
    <w:name w:val="List Table 6 Colorful - Accent 5"/>
    <w:basedOn w:val="82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sz="4" w:space="0"/>
        </w:tcBorders>
      </w:tcPr>
    </w:tblStylePr>
  </w:style>
  <w:style w:type="table" w:styleId="922" w:customStyle="1">
    <w:name w:val="List Table 6 Colorful - Accent 6"/>
    <w:basedOn w:val="825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sz="4" w:space="0"/>
        </w:tcBorders>
      </w:tcPr>
    </w:tblStylePr>
  </w:style>
  <w:style w:type="table" w:styleId="923">
    <w:name w:val="List Table 7 Colorful"/>
    <w:basedOn w:val="825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4" w:customStyle="1">
    <w:name w:val="List Table 7 Colorful - Accent 1"/>
    <w:basedOn w:val="825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5" w:customStyle="1">
    <w:name w:val="List Table 7 Colorful - Accent 2"/>
    <w:basedOn w:val="825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sz="4" w:space="0"/>
        </w:tcBorders>
      </w:tcPr>
    </w:tblStylePr>
    <w:tblStylePr w:type="fir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sz="4" w:space="0"/>
          <w:right w:val="none" w:color="000000" w:sz="0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6" w:customStyle="1">
    <w:name w:val="List Table 7 Colorful - Accent 3"/>
    <w:basedOn w:val="825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sz="4" w:space="0"/>
        </w:tcBorders>
      </w:tcPr>
    </w:tblStylePr>
    <w:tblStylePr w:type="fir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sz="4" w:space="0"/>
          <w:right w:val="none" w:color="000000" w:sz="0" w:space="0"/>
        </w:tcBorders>
      </w:tcPr>
    </w:tblStylePr>
    <w:tblStylePr w:type="lastCol">
      <w:rPr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single" w:color="C3D69B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7" w:customStyle="1">
    <w:name w:val="List Table 7 Colorful - Accent 4"/>
    <w:basedOn w:val="825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sz="4" w:space="0"/>
        </w:tcBorders>
      </w:tcPr>
    </w:tblStylePr>
    <w:tblStylePr w:type="fir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sz="4" w:space="0"/>
          <w:right w:val="none" w:color="000000" w:sz="0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8" w:customStyle="1">
    <w:name w:val="List Table 7 Colorful - Accent 5"/>
    <w:basedOn w:val="82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sz="4" w:space="0"/>
        </w:tcBorders>
      </w:tcPr>
    </w:tblStylePr>
    <w:tblStylePr w:type="fir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sz="4" w:space="0"/>
          <w:right w:val="none" w:color="000000" w:sz="0" w:space="0"/>
        </w:tcBorders>
      </w:tcPr>
    </w:tblStylePr>
    <w:tblStylePr w:type="lastCol">
      <w:rPr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single" w:color="92CCDC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9" w:customStyle="1">
    <w:name w:val="List Table 7 Colorful - Accent 6"/>
    <w:basedOn w:val="825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sz="4" w:space="0"/>
        </w:tcBorders>
      </w:tcPr>
    </w:tblStylePr>
    <w:tblStylePr w:type="fir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sz="4" w:space="0"/>
          <w:right w:val="none" w:color="000000" w:sz="0" w:space="0"/>
        </w:tcBorders>
      </w:tcPr>
    </w:tblStylePr>
    <w:tblStylePr w:type="lastCol">
      <w:rPr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single" w:color="FAC090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0" w:customStyle="1">
    <w:name w:val="Lined - Accent"/>
    <w:basedOn w:val="82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931" w:customStyle="1">
    <w:name w:val="Lined - Accent 1"/>
    <w:basedOn w:val="82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932" w:customStyle="1">
    <w:name w:val="Lined - Accent 2"/>
    <w:basedOn w:val="82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933" w:customStyle="1">
    <w:name w:val="Lined - Accent 3"/>
    <w:basedOn w:val="82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934" w:customStyle="1">
    <w:name w:val="Lined - Accent 4"/>
    <w:basedOn w:val="82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935" w:customStyle="1">
    <w:name w:val="Lined - Accent 5"/>
    <w:basedOn w:val="82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936" w:customStyle="1">
    <w:name w:val="Lined - Accent 6"/>
    <w:basedOn w:val="82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937" w:customStyle="1">
    <w:name w:val="Bordered &amp; Lined - Accent"/>
    <w:basedOn w:val="825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938" w:customStyle="1">
    <w:name w:val="Bordered &amp; Lined - Accent 1"/>
    <w:basedOn w:val="825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939" w:customStyle="1">
    <w:name w:val="Bordered &amp; Lined - Accent 2"/>
    <w:basedOn w:val="825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940" w:customStyle="1">
    <w:name w:val="Bordered &amp; Lined - Accent 3"/>
    <w:basedOn w:val="825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941" w:customStyle="1">
    <w:name w:val="Bordered &amp; Lined - Accent 4"/>
    <w:basedOn w:val="825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942" w:customStyle="1">
    <w:name w:val="Bordered &amp; Lined - Accent 5"/>
    <w:basedOn w:val="825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943" w:customStyle="1">
    <w:name w:val="Bordered &amp; Lined - Accent 6"/>
    <w:basedOn w:val="825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944" w:customStyle="1">
    <w:name w:val="Bordered"/>
    <w:basedOn w:val="825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7F7F7F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7F7F7F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7F7F7F" w:themeColor="text1" w:sz="12" w:space="0"/>
        </w:tcBorders>
      </w:tcPr>
    </w:tblStylePr>
  </w:style>
  <w:style w:type="table" w:styleId="945" w:customStyle="1">
    <w:name w:val="Bordered - Accent 1"/>
    <w:basedOn w:val="82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46" w:customStyle="1">
    <w:name w:val="Bordered - Accent 2"/>
    <w:basedOn w:val="82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D99695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D99695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D99695" w:themeColor="accent2" w:sz="12" w:space="0"/>
        </w:tcBorders>
      </w:tcPr>
    </w:tblStylePr>
  </w:style>
  <w:style w:type="table" w:styleId="947" w:customStyle="1">
    <w:name w:val="Bordered - Accent 3"/>
    <w:basedOn w:val="82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C3D69B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C3D69B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C3D69B" w:themeColor="accent3" w:sz="12" w:space="0"/>
        </w:tcBorders>
      </w:tcPr>
    </w:tblStylePr>
  </w:style>
  <w:style w:type="table" w:styleId="948" w:customStyle="1">
    <w:name w:val="Bordered - Accent 4"/>
    <w:basedOn w:val="82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B2A1C6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B2A1C6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B2A1C6" w:themeColor="accent4" w:sz="12" w:space="0"/>
        </w:tcBorders>
      </w:tcPr>
    </w:tblStylePr>
  </w:style>
  <w:style w:type="table" w:styleId="949" w:customStyle="1">
    <w:name w:val="Bordered - Accent 5"/>
    <w:basedOn w:val="82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92CCDC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92CCDC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92CCDC" w:themeColor="accent5" w:sz="12" w:space="0"/>
        </w:tcBorders>
      </w:tcPr>
    </w:tblStylePr>
  </w:style>
  <w:style w:type="table" w:styleId="950" w:customStyle="1">
    <w:name w:val="Bordered - Accent 6"/>
    <w:basedOn w:val="82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AC09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FAC09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AC090" w:themeColor="accent6" w:sz="12" w:space="0"/>
        </w:tcBorders>
      </w:tcPr>
    </w:tblStylePr>
  </w:style>
  <w:style w:type="table" w:styleId="951">
    <w:name w:val="Table Grid"/>
    <w:basedOn w:val="825"/>
    <w:uiPriority w:val="5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www.rts-tender.ru/" TargetMode="External"/><Relationship Id="rId10" Type="http://schemas.openxmlformats.org/officeDocument/2006/relationships/hyperlink" Target="http://www.rts-tender.ru/" TargetMode="External"/><Relationship Id="rId11" Type="http://schemas.openxmlformats.org/officeDocument/2006/relationships/hyperlink" Target="https://www.rts-tender.ru/" TargetMode="External"/><Relationship Id="rId12" Type="http://schemas.openxmlformats.org/officeDocument/2006/relationships/hyperlink" Target="http://www.rts-tender.ru/" TargetMode="External"/><Relationship Id="rId13" Type="http://schemas.openxmlformats.org/officeDocument/2006/relationships/hyperlink" Target="https://www.rts-tender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Grizli777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dc:description/>
  <dc:language>ru-RU</dc:language>
  <cp:revision>49</cp:revision>
  <dcterms:created xsi:type="dcterms:W3CDTF">2023-10-31T06:24:00Z</dcterms:created>
  <dcterms:modified xsi:type="dcterms:W3CDTF">2024-12-23T09:02:22Z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A6359D14764B43E9BA567EF3ABEF27A6</vt:lpwstr>
  </property>
  <property fmtid="{D5CDD505-2E9C-101B-9397-08002B2CF9AE}" pid="3" name="KSOProductBuildVer">
    <vt:lpwstr>1049-11.2.0.11516</vt:lpwstr>
  </property>
</Properties>
</file>