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Утверждено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распоряжением начальника Управления имущественных и земельных отношений 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Администрации города Костромы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1"/>
        <w:ind w:left="5245" w:firstLine="0"/>
        <w:jc w:val="center"/>
        <w:rPr>
          <w:bCs/>
          <w:i/>
        </w:rPr>
      </w:pPr>
      <w:r>
        <w:rPr>
          <w:bCs/>
          <w:i/>
        </w:rPr>
        <w:t xml:space="preserve">от _________________ № _______</w:t>
      </w:r>
      <w:r>
        <w:rPr>
          <w:bCs/>
          <w:i/>
        </w:rPr>
      </w:r>
      <w:r>
        <w:rPr>
          <w:bCs/>
          <w:i/>
        </w:rPr>
      </w:r>
    </w:p>
    <w:p>
      <w:pPr>
        <w:pStyle w:val="751"/>
        <w:ind w:left="5245" w:firstLine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751"/>
        <w:ind w:firstLine="851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20"/>
        <w:numPr>
          <w:ilvl w:val="0"/>
          <w:numId w:val="0"/>
        </w:numPr>
        <w:contextualSpacing w:val="0"/>
        <w:jc w:val="center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val="ru-RU"/>
        </w:rPr>
        <w:t xml:space="preserve">ИЗВЕЩЕНИЕ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20"/>
        <w:numPr>
          <w:ilvl w:val="0"/>
          <w:numId w:val="0"/>
        </w:numPr>
        <w:contextualSpacing w:val="0"/>
        <w:jc w:val="center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val="ru-RU"/>
        </w:rPr>
        <w:t xml:space="preserve"> проведении аукциона на право заключения договора аренды земельного участка, расположенного на территории города Костромы, государственная собственность на который не разграничена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left"/>
        <w:spacing w:before="0" w:after="0" w:line="289" w:lineRule="atLeast"/>
        <w:rPr>
          <w:rFonts w:ascii="Times New Roman" w:hAnsi="Times New Roman" w:cs="Times New Roman"/>
          <w:b/>
          <w:i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b/>
          <w:i/>
          <w:positio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position w:val="0"/>
          <w:sz w:val="22"/>
          <w:szCs w:val="22"/>
        </w:rPr>
      </w:r>
      <w:r>
        <w:rPr>
          <w:rFonts w:ascii="Times New Roman" w:hAnsi="Times New Roman" w:cs="Times New Roman"/>
          <w:b/>
          <w:i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1. Управление имущественных и земельных отношений Администрации города Костромы сообщает о проведении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</w:rPr>
        <w:t xml:space="preserve">12 марта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2025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 года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аукциона на право заключения договора аренды земельного участка.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Форма торгов – электронный аукцион. 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2. Основание проведения аукциона – постановление Администрации города Костром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ы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 октября 2024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года №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1759 «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О проведении аукцио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на на п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раво заключения договора аренды земельного участка, государственная собственность на который не разграничена, расположенного по адресу: Российская Федерация, Костромская область, городской округ город Кострома, город Кострома, улица Шарьинская, 80»; 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решение Думы города Костромы от 1 марта 2017 года </w:t>
        <w:br/>
        <w:t xml:space="preserve">№ 22 «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О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б утверждении перечня муниципального имущества города Костромы,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»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.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Участниками аукциона могут быть: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.1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внесённые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), а также физические лица, внесённые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– индивидуальные предприниматели), крестьянские (фермерские) хо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зяйства, соответствующие критериям отнесения к субъектам малого и среднего предпринимательства в соответствии со статьей 4 Закона № 209-ФЗ, имеющие право на поддержку органами местного самоуправления в соответствии с частями 3, 5 статьи 14 Закона № 209-ФЗ;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.2. внесённые в Единый государственный реестр юридических лиц организации, образующие инфраструктуру поддержки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субъектов малого и среднего предпринимательства (за исключением указанных в статье 15 Закона № 209-ФЗ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Сведения о предмете аукциона: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jc w:val="center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2"/>
          <w:szCs w:val="22"/>
        </w:rPr>
        <w:t xml:space="preserve">Лот № 1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адрес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Российская Федерация, Костромская область, городской округ город Кострома, город Кострома, 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улица Шарьинская, 80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площадь: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750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к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в.м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кадастровый номер: 44:27:030101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2898;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категория земель: земли населенных пунктов;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разрешенное использова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н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ие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магазины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обременения и ограничения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участок расположен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в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подзонах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) (зоны с особыми условиями использования территории с реестровыми номерами 44:00-6.583; 44:00-6.584; 44:00-6.585; 44:00-6.593);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земельный участок расположен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 границах территории в районе поселка Волжский, ограниченной набережной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реки Кострома, границей существующей жилой застройки в поселке Волжский, проспектом Речным, садоводческими товариществами «Огонек-1» и «Юбилейный», границей города Костромы, границами земельных участков, находящихся в частной собственности, на которую пос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тановлением Администрации города Костромы от 17 сентября 2014 года № 2475 утвержден проект планировки (далее – проект планир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овки)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;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хранная зона ВЛ 0,4кВ от ТП № 867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зона с особыми условиями использования территории с реестровыми номерами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44:27-6.5366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);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хранная зона ТП № 867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зона с особыми условиями использования территории с реестровыми номерами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44:27-6.6510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включен в Перечень муниципального имущества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города Костромы, свободного от прав третьих лиц (за исключением права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хозяйственного ведения, права оперативного управления, а также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ьства и организациям, образующим инфрастру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2"/>
          <w:szCs w:val="22"/>
          <w:highlight w:val="none"/>
          <w14:ligatures w14:val="none"/>
        </w:rPr>
        <w:t xml:space="preserve">;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параметры строительства: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магазины: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40; этажность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2 этажа; минимальный отступ от красных линий улицы Шарьинской и улицы Армейской - 6 м , в иных случаях –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  <w:t xml:space="preserve">- срок аренды земельного участка: 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  <w:t xml:space="preserve">2 года  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  <w:t xml:space="preserve">6 месяц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  <w:t xml:space="preserve">ев;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информация о возможности подключения (технологического присоединения): водоснабжение, водоотведение, ливневая канализация от МУП города Костромы «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Костромагорводоканал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» от 16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07.2024 № исх.02.11/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4832д, от 16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07.2024 № исх.02.11/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4825д;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газоснабжение от ООО «Газпром газораспределение Кострома»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15.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07.2024 №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ИС-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15/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4126, теплоснабжение от ПАО «ТГК-2»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12.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07.2024 № исх4201/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881-2024;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МУП г. Костромы «Городские сети» от 11.09.2024 №13-01/04059;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начальный размер ежегодной арендной платы: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747 000 (Семьсот сорок семь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тысяч) рублей;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шаг аукциона: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22 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410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(Двадцать две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тысячи четыреста десять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) рублей;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размер задатка: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747 000 (Семьсот сорок семь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тысяч)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рублей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.</w:t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</w:r>
    </w:p>
    <w:p>
      <w:pPr>
        <w:pStyle w:val="751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4. Организатор аукцио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на –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(4942) 42-68-41, 44-07-64; e-mail: uizo@gradkostroma.ru (далее – организатор).</w:t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5. Заявка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(Приложение 1)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на участие в электронном аукционе с указанием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банковских реквизитов счета для возврата задатка направляется оператору электронной площадки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на сайте </w:t>
      </w:r>
      <w:hyperlink r:id="rId9" w:tooltip="https://www.rts-tender.ru/" w:history="1"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(ООО «РТС-тендер»)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ителя.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pStyle w:val="818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К заявке на участие прилагаются следующие документы: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pStyle w:val="818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- копии документов, удостоверяющих личность (для физических лиц);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- документы, подтверждающие внесение задатка, представление которых признается заключением соглашения о задатке.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В случа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ind w:firstLine="709"/>
        <w:jc w:val="both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Calibri" w:cs="Times New Roman"/>
          <w:sz w:val="22"/>
          <w:szCs w:val="22"/>
          <w:lang w:eastAsia="ru-RU"/>
        </w:rPr>
        <w:t xml:space="preserve">З</w:t>
      </w:r>
      <w:r>
        <w:rPr>
          <w:rFonts w:ascii="Times New Roman" w:hAnsi="Times New Roman" w:eastAsia="Calibri" w:cs="Times New Roman"/>
          <w:sz w:val="22"/>
          <w:szCs w:val="22"/>
          <w:lang w:eastAsia="ru-RU"/>
        </w:rPr>
        <w:t xml:space="preserve">аявители декларируют свою принадлежность к субъектам малого и среднего предпринимате</w:t>
      </w:r>
      <w:r>
        <w:rPr>
          <w:rFonts w:ascii="Times New Roman" w:hAnsi="Times New Roman" w:eastAsia="Calibri" w:cs="Times New Roman"/>
          <w:sz w:val="22"/>
          <w:szCs w:val="22"/>
          <w:lang w:eastAsia="ru-RU"/>
        </w:rPr>
        <w:t xml:space="preserve">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Calibri" w:cs="Times New Roman"/>
          <w:sz w:val="22"/>
          <w:szCs w:val="22"/>
          <w:lang w:eastAsia="ru-RU"/>
        </w:rPr>
        <w:t xml:space="preserve">от 24 июля 2007 год</w:t>
      </w:r>
      <w:r>
        <w:rPr>
          <w:rFonts w:ascii="Times New Roman" w:hAnsi="Times New Roman" w:eastAsia="Calibri" w:cs="Times New Roman"/>
          <w:sz w:val="22"/>
          <w:szCs w:val="22"/>
          <w:lang w:eastAsia="ru-RU"/>
        </w:rPr>
        <w:t xml:space="preserve">а N 209-ФЗ "О развитии малого и среднего предпринимательства в Российской Федерации",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Одно лицо имеет право подать только одну заявку </w:t>
      </w:r>
      <w:r>
        <w:rPr>
          <w:rFonts w:ascii="Times New Roman" w:hAnsi="Times New Roman" w:eastAsia="Times New Roman" w:cs="Times New Roman"/>
          <w:bCs/>
          <w:position w:val="0"/>
          <w:sz w:val="22"/>
          <w:szCs w:val="22"/>
        </w:rPr>
        <w:t xml:space="preserve">на один ЛОТ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Заявитель вправе не позднее даты и времени окончания приема заявок, указанных в извещении, отозвать заявку путем направления уведомления об отзыве заявки на электронную площадку.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ата и время начала подачи заявок: 7 февраля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 2025 года с 10 час 00 мин. по местному времени.</w:t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</w:p>
    <w:p>
      <w:pPr>
        <w:pStyle w:val="818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Дата и время окончания подачи заявок: 9 марта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 202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5 года в 18 час 00 мин. по местному времени.</w:t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</w:p>
    <w:p>
      <w:pPr>
        <w:pStyle w:val="751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6.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shd w:val="clear" w:color="auto" w:fill="ffffff"/>
        </w:rPr>
        <w:t xml:space="preserve">Срок, место и порядок предоставления информационного сообщения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, электронный адрес сайта в информационно-телекоммуникационной сети Интернет </w:t>
      </w:r>
      <w:hyperlink r:id="rId10" w:tooltip="http://www.rts-tender.ru/" w:history="1"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www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. 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i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.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rts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-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tender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.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 (ООО «РТС-тендер»)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, на котором размещается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информационное сообщение: информационное сообщение размещается на официальных сайтах торгов и на электронной площадке. С информационным сообщением можно ознакомиться с даты размещения информационного сообщения на официальных сайтах: на официальном сайте Ро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ссийской Федерации для размещения информации о проведении торгов, определенном Правительством Российской Федерации, а также на электронной площадке до даты окончания приема заявок на участие в продаже на официальных сайтах торгов и на электронной площадке.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7.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shd w:val="clear" w:color="auto" w:fill="ffffff"/>
        </w:rPr>
        <w:t xml:space="preserve">Порядок внесения и возврата задатка, банковские реквизиты счета для перечисления задатка.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www.rts-tender.ru.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ля участия в аукционе в электронной форме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установлено требование о внесении задатка. В целях исполнения данного требования Заявитель обеспечивает наличие денежных средств на счёте Оператора электронной площадки в размере, не менее суммы задатка, установленного в настоящей аукционной документации.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числение денежных средств на счёт Оператора электронной площадки производится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срок до даты рассмотрения заявок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 (не позднее: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  <w:shd w:val="clear" w:color="auto" w:fill="ffffff"/>
        </w:rPr>
        <w:t xml:space="preserve">11 марта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shd w:val="clear" w:color="auto" w:fill="ffffff"/>
        </w:rPr>
        <w:t xml:space="preserve"> 202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shd w:val="clear" w:color="auto" w:fill="ffffff"/>
        </w:rPr>
        <w:t xml:space="preserve">5 года 10 час. 00 мин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  <w:shd w:val="clear" w:color="auto" w:fill="ffffff"/>
        </w:rPr>
        <w:t xml:space="preserve"> время московское)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в соответствии с Регламентом Оператора электронной площадки, размещенными на электронной площадке по следующим реквизитам: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Получатель платежа: ООО «РТС-тендер»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Банковские реквизиты: Филиал «Корпоративный» ПАО «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Совкомбанк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»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БИК 044525360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Расчётный счёт: 40702810512030016362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Корр. счёт 30101810445250000360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ИНН 7710357167 КПП 773001001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Назначение платежа: «Внесение гарантийного обеспечения по Соглашению о внесении гарантийного обеспечения, № аналитического счета, без НДС».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Денежные средства, перечисленные в соответствии с Регламентом Оператора электронной площадки, размещенными на электронной площадке на счет Оператора электронной площадки, учитываются на счете Заявителя, открытом у Оператора электронной площадки.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Денежные средства в размере, равном задатку, блокируются Оператором электронной площадки на счете Заявителя в соответствии с Регл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аментом Оператора электронной площадки, размещенными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Подача Заявки и блокирование задатка является заключением соглашения о задатке.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случае если денежных средств на счете Заявителя недостаточно, Оператором электронной площадки Заявка не принимается.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Прекращение блокирования денежных средств на счете Заявителя в соответствии с Регламентом Оператора электронной площадки, размещенными на электронной площадке производится Оператором электронной площадки в следующем порядке: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размещенными на электронной площадке;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для Заявителя, не допущенного к участи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ю в аукционе в электронной форме, - в течение 3 (трех) рабочих дней со дня оформления Протокола рассмотрения заявок на участие в аукционе в электронной форме в соответствии с Регламентом Оператора электронной площадки, размещенными на электронной площадке;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для Участников, участвовавших в 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укционе в электронной форме, но не победивших в нем, - в течение 3 (трех) рабочих дней со дня подписания Протокола о результатах аукциона в электронной форме в соответствии с Регламентом Оператора электронной площадки, размещенными на электронной площадке.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Задаток Победителя аукциона в электронной форме, а также задаток иных лиц, с которым договор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купли продажи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оплаты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за земельный участок. Перечисление задатка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Продавцу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в счет платы за земельный участок осуществляется Оператором электронной площадки в соответствии с Регламентом Оператора электронной площадки, размещенными на электронной площадке.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Задатки, внесенные указанными в настоящем пункте лицами, не заключившими в установленном в Извещении порядке договора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купли-продажи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земельного участка вследствие уклонения от заключения указанного договора, не возвращаются.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Задатки лицам, участвовавшим в аукционе, но не победившим в нем, Оператор электронной площадки в течение трех рабочих дней со дня подписания протокола о результатах аукциона обязан возвратить.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pStyle w:val="751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8.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9. Вз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имание оператором электронной площадки с победителя электронного аукциона или иных лиц, с которыми в соответствии с пунктами 13, 14, 20 и 25 статьи 39.12 Земельного кодекса Российской Федерации (далее – Кодекс) заключается договор купли-продажи земельного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участка, находящегося в государственной или муниципальной собственности, либо договор аренды такого участка, платы за участие в электронном аукционе производится в соответствии с регламентом и иными регулирующими документами оператора электронной площадки </w:t>
      </w:r>
      <w:hyperlink r:id="rId11" w:tooltip="https://www.rts-tender.ru/" w:history="1"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(ООО «РТС-тендер») во вкладке ТАРИФЫ/ИМУЩЕСТВЕННЫЕ ТОРГИ.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10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есто, дата, время и порядок определения участников аукциона: 11 марта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 202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5 года в 10 час. 00 мин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. На электронной площадке </w:t>
      </w:r>
      <w:hyperlink r:id="rId12" w:tooltip="http://www.rts-tender.ru/" w:history="1"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highlight w:val="white"/>
          </w:rPr>
          <w:t xml:space="preserve">www.rts-tend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highlight w:val="white"/>
          </w:rPr>
          <w:t xml:space="preserve">er.ru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(ООО «РТС-тендер»).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Организатор рассматривает заявки и документы заявителей (претендентов) и устанавливает факт поступления на счёт установленных сумм задатков.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Определение участников аукциона проводится без участия заявителей (претендентов).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По результатам рассмотрения заявок и документов организатор принимает решение о признании заявителей участниками аукциона.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Заявитель, допущенный к участию в аукционе, приобретает статус участника аукциона с момента оформления организатором протокола рассмотрения заявок на участие в аукционе.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11.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Дата, место, время и порядок проведения аукциона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 12 марта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202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5 года в 10 час. 00 мин.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на электронной площадке </w:t>
      </w:r>
      <w:hyperlink r:id="rId13" w:tooltip="https://www.rts-tender.ru/" w:history="1">
        <w:r>
          <w:rPr>
            <w:rFonts w:ascii="Times New Roman" w:hAnsi="Times New Roman" w:eastAsia="Times New Roman" w:cs="Times New Roman"/>
            <w:color w:val="0000ff"/>
            <w:position w:val="0"/>
            <w:sz w:val="22"/>
            <w:szCs w:val="22"/>
            <w:highlight w:val="white"/>
            <w:u w:val="single"/>
          </w:rPr>
          <w:t xml:space="preserve">https://www.rts-tender</w:t>
        </w:r>
        <w:r>
          <w:rPr>
            <w:rFonts w:ascii="Times New Roman" w:hAnsi="Times New Roman" w:eastAsia="Times New Roman" w:cs="Times New Roman"/>
            <w:color w:val="0000ff"/>
            <w:position w:val="0"/>
            <w:sz w:val="22"/>
            <w:szCs w:val="22"/>
            <w:highlight w:val="white"/>
            <w:u w:val="single"/>
          </w:rPr>
          <w:t xml:space="preserve">.ru/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(ООО «РТС-тендер») в соответствии с регламентом электронной площадки.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12. Победителем признается участник, предложивший в ходе аукциона наибольшую цену.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13. Задаток, внесённый лицом, признанным победителем аукциона, или иным лицом, с которым заключается договор аренды земельного участка, засчитывается в оплату приобретаемого земельного участка.  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14. Организатор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не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(Приложение 2).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15. Уполномоченный орган в течение пяти дней со дня истечения срока, пред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усмотренного пункт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ом 14, направляет победителю электронного аукциона или иным лицам, с которыми в соответствии с пунктами 13, 14, 20 и 25 статьи 39.12 Кодекса заключается договор аренды земельного участка, подписанный проект договора аренды такого участка.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вора.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Победитель аукциона в электронной форме или иное лицо, с которым заключается договор аренды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земельного участка в соответствии с Кодексом, обязаны подписать договор в течение 30 (тридцати) дней со дня направления им такого договора.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Если договор в течение 30 (тридцати) дней со дня направления проекта договора Победителю аукциона в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электронной форме не был им подписан и представлен продавцу,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 в электронной форме.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случае, если Победитель аукциона в электронной форме или иное лицо, с которым заключается договор в соответствии с пунктами Извещения, в течение 30 (тридца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ти) дней со дня направления продавцом проекта указанного договора не подписал и не представил продавцу указанный договор, продавец направляет сведения в Федеральную антимонопольную службу России для включения в реестр недобросовестных участников аукциона. 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случае, если в течение 30 (тридцати) дней со дня направления Участнику, который сделал предпоследнее предложение о цене Предмета аукциона, этот Участник не представил продавцу подписанный со своей стороны указанный договор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,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продавец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16. Организатор торгов в течении трёх рабочих дней со дня подписания протокола о результатах торгов возвращает задатки лицам, участвовавшим в аукционе, но не победивш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им </w:t>
      </w:r>
      <w:bookmarkStart w:id="0" w:name="_GoBack"/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 нем.   </w:t>
      </w:r>
      <w:bookmarkEnd w:id="0"/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ind w:firstLine="709"/>
        <w:jc w:val="both"/>
        <w:spacing w:line="240" w:lineRule="auto"/>
        <w:rPr>
          <w:rFonts w:ascii="Times New Roman" w:hAnsi="Times New Roma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17.</w:t>
      </w:r>
      <w:r>
        <w:rPr>
          <w:rFonts w:ascii="Times New Roman" w:hAnsi="Times New Roman"/>
          <w:sz w:val="22"/>
          <w:szCs w:val="22"/>
        </w:rPr>
        <w:t xml:space="preserve">Организатор </w:t>
      </w:r>
      <w:r>
        <w:rPr>
          <w:rFonts w:ascii="Times New Roman" w:hAnsi="Times New Roman"/>
          <w:sz w:val="22"/>
          <w:szCs w:val="22"/>
        </w:rPr>
        <w:t xml:space="preserve">аукциона вправе отказаться от процедуры проведения аукциона в соответствии с пунктом 4 статьи 448 Гражданского кодекса Российской Федерации. </w:t>
      </w:r>
      <w:r>
        <w:rPr>
          <w:rFonts w:ascii="Times New Roman" w:hAnsi="Times New Roman"/>
          <w14:ligatures w14:val="none"/>
        </w:rPr>
      </w:r>
      <w:r>
        <w:rPr>
          <w:rFonts w:ascii="Times New Roman" w:hAnsi="Times New Roman"/>
          <w14:ligatures w14:val="none"/>
        </w:rPr>
      </w:r>
    </w:p>
    <w:p>
      <w:pPr>
        <w:ind w:firstLine="709"/>
        <w:jc w:val="both"/>
        <w:spacing w:line="240" w:lineRule="auto"/>
        <w:rPr>
          <w:rFonts w:ascii="Times New Roman" w:hAnsi="Times New Roman"/>
          <w:sz w:val="22"/>
          <w:szCs w:val="22"/>
          <w:highlight w:val="none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В течение трех дней со дня принятия решения об отказе в проведении аукциона организатор аукциона обязан известить участников аукциона об отказе в проведе</w:t>
      </w:r>
      <w:r>
        <w:rPr>
          <w:rFonts w:ascii="Times New Roman" w:hAnsi="Times New Roman"/>
          <w:sz w:val="22"/>
          <w:szCs w:val="22"/>
        </w:rPr>
        <w:t xml:space="preserve">нии </w:t>
      </w:r>
      <w:r>
        <w:rPr>
          <w:rFonts w:ascii="Times New Roman" w:hAnsi="Times New Roman"/>
          <w:sz w:val="22"/>
          <w:szCs w:val="22"/>
        </w:rPr>
        <w:t xml:space="preserve">аукциона и возвратить его участникам внесенные задатки.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:highlight w:val="none"/>
          <w14:ligatures w14:val="none"/>
        </w:rPr>
      </w:r>
    </w:p>
    <w:p>
      <w:pPr>
        <w:shd w:val="nil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14:ligatures w14:val="none"/>
        </w:rPr>
        <w:br w:type="page" w:clear="all"/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pStyle w:val="751"/>
        <w:ind w:firstLine="709"/>
        <w:jc w:val="right"/>
        <w:widowControl w:val="off"/>
      </w:pPr>
      <w:r>
        <w:rPr>
          <w:sz w:val="20"/>
          <w:szCs w:val="20"/>
        </w:rPr>
        <w:t xml:space="preserve">Приложение 1</w:t>
      </w:r>
      <w:r>
        <w:rPr>
          <w:sz w:val="20"/>
          <w:szCs w:val="20"/>
        </w:rPr>
      </w:r>
      <w:r/>
    </w:p>
    <w:p>
      <w:pPr>
        <w:pStyle w:val="751"/>
        <w:ind w:firstLine="851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51"/>
        <w:jc w:val="center"/>
      </w:pPr>
      <w:r>
        <w:rPr>
          <w:b/>
          <w:lang w:eastAsia="zh-CN"/>
        </w:rPr>
        <w:t xml:space="preserve">ФОРМА</w:t>
      </w:r>
      <w:r>
        <w:rPr>
          <w:b/>
          <w:sz w:val="20"/>
          <w:szCs w:val="20"/>
          <w:lang w:eastAsia="zh-CN"/>
        </w:rPr>
        <w:t xml:space="preserve"> </w:t>
      </w:r>
      <w:r>
        <w:rPr>
          <w:b/>
          <w:lang w:eastAsia="zh-CN"/>
        </w:rPr>
        <w:t xml:space="preserve">ЗАЯВКИ </w:t>
      </w:r>
      <w:r>
        <w:rPr>
          <w:b/>
          <w:sz w:val="22"/>
          <w:szCs w:val="22"/>
          <w:lang w:eastAsia="zh-CN"/>
        </w:rPr>
        <w:t xml:space="preserve">НА УЧАСТИЕ В АУКЦИОНЕ В ЭЛЕКТРОННОЙ ФОРМЕ</w:t>
      </w:r>
      <w:r>
        <w:rPr>
          <w:b/>
          <w:sz w:val="22"/>
          <w:szCs w:val="22"/>
          <w:lang w:eastAsia="zh-CN"/>
        </w:rPr>
      </w:r>
      <w:r/>
    </w:p>
    <w:p>
      <w:pPr>
        <w:pStyle w:val="751"/>
      </w:pPr>
      <w:r>
        <w:rPr>
          <w:b/>
          <w:sz w:val="2"/>
          <w:szCs w:val="10"/>
          <w:lang w:eastAsia="zh-CN"/>
        </w:rPr>
      </w:r>
      <w:r>
        <w:rPr>
          <w:b/>
          <w:sz w:val="2"/>
          <w:szCs w:val="10"/>
          <w:lang w:eastAsia="zh-CN"/>
        </w:rPr>
      </w:r>
      <w:r/>
    </w:p>
    <w:p>
      <w:pPr>
        <w:pStyle w:val="751"/>
      </w:pPr>
      <w:r>
        <w:rPr>
          <w:b/>
          <w:sz w:val="19"/>
          <w:szCs w:val="19"/>
          <w:lang w:eastAsia="zh-CN"/>
        </w:rPr>
        <w:t xml:space="preserve">В Управление имущественных и земельных отношений Администрации города Костромы</w:t>
      </w:r>
      <w:r>
        <w:rPr>
          <w:b/>
          <w:sz w:val="19"/>
          <w:szCs w:val="19"/>
          <w:lang w:eastAsia="zh-CN"/>
        </w:rPr>
      </w:r>
      <w:r/>
    </w:p>
    <w:p>
      <w:pPr>
        <w:pStyle w:val="751"/>
      </w:pPr>
      <w:r>
        <w:rPr>
          <w:b/>
          <w:sz w:val="19"/>
          <w:szCs w:val="19"/>
          <w:lang w:eastAsia="zh-CN"/>
        </w:rPr>
        <w:t xml:space="preserve">Заявитель</w:t>
      </w:r>
      <w:r>
        <w:rPr>
          <w:sz w:val="19"/>
          <w:szCs w:val="19"/>
          <w:lang w:eastAsia="zh-CN"/>
        </w:rPr>
        <w:t xml:space="preserve"> </w:t>
      </w:r>
      <w:r>
        <w:rPr>
          <w:sz w:val="19"/>
          <w:szCs w:val="19"/>
          <w:lang w:eastAsia="zh-CN"/>
        </w:rPr>
      </w:r>
      <w:r/>
    </w:p>
    <w:p>
      <w:pPr>
        <w:pStyle w:val="751"/>
        <w:pBdr>
          <w:bottom w:val="single" w:color="000000" w:sz="4" w:space="0"/>
        </w:pBdr>
      </w:pPr>
      <w:r>
        <w:rPr>
          <w:sz w:val="19"/>
          <w:szCs w:val="19"/>
          <w:lang w:eastAsia="zh-CN"/>
        </w:rPr>
      </w:r>
      <w:r>
        <w:rPr>
          <w:sz w:val="19"/>
          <w:szCs w:val="19"/>
          <w:lang w:eastAsia="zh-CN"/>
        </w:rPr>
      </w:r>
      <w:r/>
    </w:p>
    <w:p>
      <w:pPr>
        <w:pStyle w:val="751"/>
        <w:jc w:val="center"/>
      </w:pPr>
      <w:r>
        <w:rPr>
          <w:sz w:val="18"/>
          <w:szCs w:val="18"/>
          <w:lang w:eastAsia="zh-CN"/>
        </w:rPr>
        <w:t xml:space="preserve">           </w:t>
      </w:r>
      <w:r>
        <w:rPr>
          <w:sz w:val="16"/>
          <w:szCs w:val="18"/>
          <w:lang w:eastAsia="zh-CN"/>
        </w:rPr>
        <w:t xml:space="preserve">(</w:t>
      </w:r>
      <w:r>
        <w:rPr>
          <w:bCs/>
          <w:sz w:val="16"/>
          <w:szCs w:val="18"/>
          <w:lang w:eastAsia="zh-CN"/>
        </w:rPr>
        <w:t xml:space="preserve">Ф.И.О., гражданина,  индивидуального предпринимателя,</w:t>
      </w:r>
      <w:r>
        <w:rPr>
          <w:bCs/>
          <w:sz w:val="16"/>
          <w:szCs w:val="18"/>
          <w:lang w:eastAsia="zh-CN"/>
        </w:rPr>
        <w:br/>
      </w:r>
      <w:r>
        <w:rPr>
          <w:bCs/>
          <w:sz w:val="16"/>
          <w:szCs w:val="18"/>
          <w:lang w:eastAsia="zh-CN"/>
        </w:rPr>
        <w:t xml:space="preserve">наименование юридического лица с указанием организационно-правовой формы</w:t>
      </w:r>
      <w:r>
        <w:rPr>
          <w:sz w:val="16"/>
          <w:szCs w:val="18"/>
          <w:lang w:eastAsia="zh-CN"/>
        </w:rPr>
        <w:t xml:space="preserve">)</w:t>
      </w:r>
      <w:r>
        <w:rPr>
          <w:sz w:val="18"/>
          <w:szCs w:val="18"/>
          <w:lang w:eastAsia="zh-CN"/>
        </w:rPr>
      </w:r>
      <w:r/>
    </w:p>
    <w:p>
      <w:pPr>
        <w:pStyle w:val="751"/>
        <w:jc w:val="both"/>
        <w:pBdr>
          <w:bottom w:val="single" w:color="000000" w:sz="4" w:space="0"/>
        </w:pBdr>
      </w:pPr>
      <w:r>
        <w:rPr>
          <w:b/>
          <w:sz w:val="19"/>
          <w:szCs w:val="19"/>
          <w:lang w:eastAsia="zh-CN"/>
        </w:rPr>
        <w:t xml:space="preserve">в лице</w:t>
      </w:r>
      <w:r>
        <w:rPr>
          <w:sz w:val="19"/>
          <w:szCs w:val="19"/>
          <w:lang w:eastAsia="zh-CN"/>
        </w:rPr>
        <w:t xml:space="preserve"> </w:t>
        <w:tab/>
        <w:t xml:space="preserve"> </w:t>
      </w:r>
      <w:r>
        <w:rPr>
          <w:sz w:val="19"/>
          <w:szCs w:val="19"/>
          <w:lang w:eastAsia="zh-CN"/>
        </w:rPr>
      </w:r>
      <w:r/>
    </w:p>
    <w:p>
      <w:pPr>
        <w:pStyle w:val="751"/>
        <w:jc w:val="center"/>
      </w:pPr>
      <w:r>
        <w:rPr>
          <w:sz w:val="16"/>
          <w:szCs w:val="18"/>
          <w:lang w:eastAsia="zh-CN"/>
        </w:rPr>
        <w:t xml:space="preserve">(</w:t>
      </w:r>
      <w:r>
        <w:rPr>
          <w:bCs/>
          <w:sz w:val="16"/>
          <w:szCs w:val="18"/>
          <w:lang w:eastAsia="zh-CN"/>
        </w:rPr>
        <w:t xml:space="preserve">Ф.И.О. руководителя юридического лица или уполномоченного лица, лица действующего на основании доверенности</w:t>
      </w:r>
      <w:r>
        <w:rPr>
          <w:sz w:val="16"/>
          <w:szCs w:val="18"/>
          <w:lang w:eastAsia="zh-CN"/>
        </w:rPr>
        <w:t xml:space="preserve">)</w:t>
      </w:r>
      <w:r>
        <w:rPr>
          <w:sz w:val="18"/>
          <w:szCs w:val="18"/>
          <w:lang w:eastAsia="zh-CN"/>
        </w:rPr>
      </w:r>
      <w:r/>
    </w:p>
    <w:p>
      <w:pPr>
        <w:pStyle w:val="751"/>
        <w:jc w:val="both"/>
        <w:pBdr>
          <w:bottom w:val="single" w:color="000000" w:sz="4" w:space="0"/>
        </w:pBdr>
      </w:pPr>
      <w:r>
        <w:rPr>
          <w:b/>
          <w:bCs/>
          <w:sz w:val="19"/>
          <w:szCs w:val="19"/>
          <w:lang w:eastAsia="zh-CN"/>
        </w:rPr>
        <w:t xml:space="preserve">действующего на основании</w:t>
      </w:r>
      <w:r>
        <w:rPr>
          <w:rStyle w:val="788"/>
          <w:b/>
          <w:bCs/>
          <w:sz w:val="19"/>
          <w:szCs w:val="19"/>
          <w:vertAlign w:val="superscript"/>
          <w:lang w:eastAsia="zh-CN"/>
        </w:rPr>
        <w:footnoteReference w:id="2"/>
      </w:r>
      <w:r>
        <w:rPr>
          <w:b/>
          <w:bCs/>
          <w:sz w:val="19"/>
          <w:szCs w:val="19"/>
          <w:lang w:eastAsia="zh-CN"/>
        </w:rPr>
        <w:t xml:space="preserve"> </w:t>
      </w:r>
      <w:r>
        <w:rPr>
          <w:b/>
          <w:bCs/>
          <w:sz w:val="19"/>
          <w:szCs w:val="19"/>
          <w:lang w:eastAsia="zh-CN"/>
        </w:rPr>
      </w:r>
      <w:r/>
    </w:p>
    <w:p>
      <w:pPr>
        <w:pStyle w:val="751"/>
        <w:jc w:val="center"/>
      </w:pPr>
      <w:r>
        <w:rPr>
          <w:sz w:val="18"/>
          <w:szCs w:val="20"/>
          <w:lang w:eastAsia="zh-CN"/>
        </w:rPr>
        <w:t xml:space="preserve">(</w:t>
      </w:r>
      <w:r>
        <w:rPr>
          <w:sz w:val="16"/>
          <w:szCs w:val="18"/>
          <w:lang w:eastAsia="zh-CN"/>
        </w:rPr>
        <w:t xml:space="preserve">Устав, Положение, Соглашение, Доверенности и т.д</w:t>
      </w:r>
      <w:r>
        <w:rPr>
          <w:sz w:val="18"/>
          <w:szCs w:val="20"/>
          <w:lang w:eastAsia="zh-CN"/>
        </w:rPr>
        <w:t xml:space="preserve">.)</w:t>
      </w:r>
      <w:r>
        <w:rPr>
          <w:b/>
          <w:lang w:eastAsia="zh-CN"/>
        </w:rPr>
      </w:r>
      <w:r/>
    </w:p>
    <w:tbl>
      <w:tblPr>
        <w:tblW w:w="10496" w:type="dxa"/>
        <w:tblInd w:w="-7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10496"/>
      </w:tblGrid>
      <w:tr>
        <w:tblPrEx/>
        <w:trPr>
          <w:trHeight w:val="1124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vAlign w:val="center"/>
            <w:textDirection w:val="lrTb"/>
            <w:noWrap w:val="false"/>
          </w:tcPr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Заявителя: серия                                                   №                                                      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дата выдачи</w:t>
            </w:r>
            <w:r>
              <w:rPr>
                <w:sz w:val="18"/>
                <w:szCs w:val="18"/>
                <w:lang w:eastAsia="zh-CN"/>
              </w:rPr>
              <w:t xml:space="preserve">_______________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ОГРНИП (для индивидуального предпринимателя): №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  <w:rPr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ИНН                                       КПП                                          ОГРН                        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179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textDirection w:val="lrTb"/>
            <w:noWrap w:val="false"/>
          </w:tcPr>
          <w:p>
            <w:pPr>
              <w:pStyle w:val="751"/>
              <w:widowControl w:val="off"/>
              <w:pBdr>
                <w:bottom w:val="single" w:color="000000" w:sz="4" w:space="0"/>
              </w:pBdr>
            </w:pPr>
            <w:r>
              <w:rPr>
                <w:b/>
                <w:sz w:val="18"/>
                <w:szCs w:val="18"/>
                <w:lang w:eastAsia="zh-CN"/>
              </w:rPr>
              <w:t xml:space="preserve">Представитель Заявителя</w:t>
            </w:r>
            <w:r>
              <w:rPr>
                <w:rStyle w:val="788"/>
                <w:b/>
                <w:sz w:val="18"/>
                <w:szCs w:val="18"/>
                <w:vertAlign w:val="superscript"/>
                <w:lang w:eastAsia="zh-CN"/>
              </w:rPr>
              <w:footnoteReference w:id="3"/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/>
          </w:p>
          <w:p>
            <w:pPr>
              <w:pStyle w:val="751"/>
              <w:jc w:val="center"/>
              <w:widowControl w:val="off"/>
            </w:pPr>
            <w:r>
              <w:rPr>
                <w:b/>
                <w:sz w:val="16"/>
                <w:szCs w:val="18"/>
                <w:lang w:eastAsia="zh-CN"/>
              </w:rPr>
              <w:t xml:space="preserve">(Ф.И.О,)</w:t>
            </w:r>
            <w:r>
              <w:rPr>
                <w:b/>
                <w:sz w:val="16"/>
                <w:szCs w:val="18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представителя: серия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дата выдачи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   </w:t>
            </w:r>
            <w: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RepresentativePassportIssuer</w:instrTex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end"/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</w:t>
            </w:r>
            <w: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RepresentativePhoneNumber</w:instrTex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end"/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</w:p>
        </w:tc>
      </w:tr>
    </w:tbl>
    <w:p>
      <w:pPr>
        <w:pStyle w:val="751"/>
        <w:ind w:hanging="1"/>
        <w:jc w:val="both"/>
        <w:widowControl w:val="off"/>
      </w:pPr>
      <w:r>
        <w:rPr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  <w:t xml:space="preserve">принял решение об участии в аукционе на право заключения договора аренды земельного участка </w:t>
      </w:r>
      <w:r>
        <w:rPr>
          <w:b/>
          <w:sz w:val="18"/>
          <w:szCs w:val="18"/>
          <w:lang w:eastAsia="zh-CN"/>
        </w:rPr>
        <w:t xml:space="preserve">с кадастровым номером:_______________________________________, расположенного по адресу (местоположение): ___________________________________________________________________________, в электронной форме, и обязуется обеспечить поступление задатка в размере</w:t>
      </w:r>
      <w:r>
        <w:rPr>
          <w:sz w:val="18"/>
          <w:szCs w:val="18"/>
          <w:u w:val="single"/>
          <w:lang w:eastAsia="zh-CN"/>
        </w:rPr>
        <w:t xml:space="preserve">                                                                            </w:t>
      </w:r>
      <w:r>
        <w:rPr>
          <w:b/>
          <w:sz w:val="18"/>
          <w:szCs w:val="18"/>
          <w:lang w:eastAsia="zh-CN"/>
        </w:rPr>
        <w:t xml:space="preserve">руб.</w:t>
      </w:r>
      <w:r>
        <w:rPr>
          <w:sz w:val="18"/>
          <w:szCs w:val="18"/>
          <w:u w:val="single"/>
          <w:lang w:eastAsia="zh-CN"/>
        </w:rPr>
        <w:t xml:space="preserve">            (сумма прописью)</w:t>
      </w:r>
      <w:r>
        <w:rPr>
          <w:sz w:val="18"/>
          <w:szCs w:val="18"/>
          <w:lang w:eastAsia="zh-CN"/>
        </w:rPr>
        <w:t xml:space="preserve">, </w:t>
      </w:r>
      <w:r>
        <w:rPr>
          <w:b/>
          <w:sz w:val="18"/>
          <w:szCs w:val="18"/>
          <w:lang w:eastAsia="zh-CN"/>
        </w:rPr>
        <w:t xml:space="preserve"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  <w:r>
        <w:rPr>
          <w:b/>
          <w:sz w:val="18"/>
          <w:szCs w:val="18"/>
          <w:lang w:eastAsia="zh-CN"/>
        </w:rPr>
      </w:r>
      <w:r/>
    </w:p>
    <w:p>
      <w:pPr>
        <w:pStyle w:val="751"/>
        <w:ind w:firstLine="142"/>
        <w:jc w:val="both"/>
        <w:widowControl w:val="off"/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b/>
          <w:sz w:val="18"/>
          <w:szCs w:val="18"/>
        </w:rPr>
        <w:t xml:space="preserve">Банковские реквизиты для возврата задатка:</w:t>
      </w:r>
      <w:r>
        <w:rPr>
          <w:b/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sz w:val="18"/>
          <w:szCs w:val="18"/>
        </w:rPr>
        <w:t xml:space="preserve">Банк ______________________________________________________________________________________________</w:t>
      </w:r>
      <w:r>
        <w:rPr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sz w:val="18"/>
          <w:szCs w:val="18"/>
        </w:rPr>
        <w:t xml:space="preserve">Расчётный счёт _______________________________ Корреспондентский счёт _______________________________</w:t>
      </w:r>
      <w:r>
        <w:rPr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sz w:val="18"/>
          <w:szCs w:val="18"/>
        </w:rPr>
        <w:t xml:space="preserve">БИК_________________________________________ Лицевой счёт _________________________________________</w:t>
      </w:r>
      <w:r>
        <w:rPr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sz w:val="18"/>
          <w:szCs w:val="18"/>
        </w:rPr>
        <w:t xml:space="preserve">Ф. И. О. (наименование) получателя ___________________________________________________________________</w:t>
      </w:r>
      <w:r>
        <w:rPr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b/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обязуется: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1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>
        <w:rPr>
          <w:rStyle w:val="788"/>
          <w:sz w:val="18"/>
          <w:szCs w:val="18"/>
          <w:vertAlign w:val="superscript"/>
          <w:lang w:eastAsia="zh-CN"/>
        </w:rPr>
        <w:footnoteReference w:id="4"/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1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В случае признания Победителем аукциона в электронной форме, а также в иных случаях, предусмо</w:t>
      </w:r>
      <w:r>
        <w:rPr>
          <w:sz w:val="18"/>
          <w:szCs w:val="18"/>
          <w:lang w:eastAsia="zh-CN"/>
        </w:rPr>
        <w:t xml:space="preserve">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согласен и принимает все условия, требования, положения Извещени</w:t>
      </w:r>
      <w:r>
        <w:rPr>
          <w:sz w:val="18"/>
          <w:szCs w:val="18"/>
          <w:lang w:eastAsia="zh-CN"/>
        </w:rPr>
        <w:t xml:space="preserve">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  <w:lang w:eastAsia="zh-CN"/>
        </w:rPr>
        <w:t xml:space="preserve">и не имеет претензий к ним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Ответственность за достоверность представленных документов и информации несет Заявитель. 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</w:t>
      </w:r>
      <w:r>
        <w:rPr>
          <w:sz w:val="18"/>
          <w:szCs w:val="18"/>
          <w:lang w:eastAsia="zh-CN"/>
        </w:rPr>
        <w:t xml:space="preserve">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 </w:t>
      </w:r>
      <w:r>
        <w:rPr>
          <w:rStyle w:val="788"/>
          <w:sz w:val="17"/>
          <w:szCs w:val="17"/>
          <w:vertAlign w:val="superscript"/>
          <w:lang w:eastAsia="zh-CN"/>
        </w:rPr>
        <w:footnoteReference w:id="5"/>
      </w:r>
      <w:r>
        <w:rPr>
          <w:sz w:val="17"/>
          <w:szCs w:val="17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  <w:t xml:space="preserve">Заявитель осведомлен и согласен с тем, что Арендодатель (Прод</w:t>
      </w:r>
      <w:r>
        <w:rPr>
          <w:sz w:val="18"/>
          <w:szCs w:val="18"/>
          <w:lang w:eastAsia="zh-CN"/>
        </w:rPr>
        <w:t xml:space="preserve">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</w:t>
      </w:r>
      <w:r>
        <w:rPr>
          <w:sz w:val="18"/>
          <w:szCs w:val="18"/>
          <w:lang w:eastAsia="zh-CN"/>
        </w:rPr>
        <w:t xml:space="preserve">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</w:t>
      </w:r>
      <w:r>
        <w:rPr>
          <w:sz w:val="18"/>
          <w:szCs w:val="18"/>
          <w:lang w:eastAsia="zh-CN"/>
        </w:rPr>
        <w:t xml:space="preserve">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/>
          <w:sz w:val="18"/>
          <w:szCs w:val="18"/>
          <w:lang w:eastAsia="zh-CN"/>
        </w:rPr>
        <w:t xml:space="preserve">ruи сайте Оператора электронной площадки</w:t>
      </w:r>
      <w:r>
        <w:rPr>
          <w:sz w:val="18"/>
          <w:szCs w:val="18"/>
          <w:lang w:eastAsia="zh-CN"/>
        </w:rPr>
        <w:t xml:space="preserve">.</w:t>
      </w:r>
      <w:r/>
      <w:r/>
    </w:p>
    <w:p>
      <w:pPr>
        <w:pStyle w:val="751"/>
        <w:ind w:left="142" w:hanging="142"/>
        <w:jc w:val="both"/>
      </w:pPr>
      <w:r>
        <w:rPr>
          <w:sz w:val="18"/>
          <w:szCs w:val="18"/>
          <w:lang w:eastAsia="zh-CN"/>
        </w:rPr>
        <w:t xml:space="preserve">8.В соответствии с Ф</w:t>
      </w:r>
      <w:r>
        <w:rPr>
          <w:sz w:val="18"/>
          <w:szCs w:val="18"/>
          <w:lang w:eastAsia="zh-CN"/>
        </w:rPr>
        <w:t xml:space="preserve">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</w:t>
      </w:r>
      <w:r>
        <w:rPr>
          <w:sz w:val="18"/>
          <w:szCs w:val="18"/>
          <w:lang w:eastAsia="zh-CN"/>
        </w:rPr>
        <w:t xml:space="preserve">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</w:t>
      </w:r>
      <w:r>
        <w:rPr>
          <w:sz w:val="18"/>
          <w:szCs w:val="18"/>
          <w:lang w:eastAsia="zh-CN"/>
        </w:rPr>
        <w:t xml:space="preserve">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</w:t>
      </w:r>
      <w:r>
        <w:rPr>
          <w:sz w:val="18"/>
          <w:szCs w:val="18"/>
          <w:lang w:eastAsia="zh-CN"/>
        </w:rPr>
        <w:t xml:space="preserve">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  <w:r>
        <w:rPr>
          <w:sz w:val="18"/>
          <w:szCs w:val="18"/>
          <w:lang w:eastAsia="zh-CN"/>
        </w:rPr>
      </w:r>
      <w:r/>
    </w:p>
    <w:p>
      <w:pPr>
        <w:pStyle w:val="751"/>
        <w:spacing w:before="0" w:after="160" w:line="259" w:lineRule="auto"/>
      </w:pPr>
      <w:r>
        <w:rPr>
          <w:szCs w:val="28"/>
          <w:lang w:eastAsia="zh-CN"/>
        </w:rPr>
      </w:r>
      <w:r>
        <w:rPr>
          <w:szCs w:val="28"/>
          <w:lang w:eastAsia="zh-CN"/>
        </w:rPr>
      </w:r>
      <w:r/>
    </w:p>
    <w:p>
      <w:pPr>
        <w:pStyle w:val="751"/>
        <w:spacing w:before="0" w:after="160" w:line="259" w:lineRule="auto"/>
      </w:pPr>
      <w:r>
        <w:rPr>
          <w:szCs w:val="28"/>
          <w:lang w:eastAsia="zh-CN"/>
        </w:rPr>
        <w:t xml:space="preserve">Подписано усиленной квалифицированной электронной подписью</w:t>
      </w:r>
      <w:r>
        <w:rPr>
          <w:bCs/>
          <w:szCs w:val="28"/>
          <w:lang w:eastAsia="zh-CN"/>
        </w:rPr>
      </w:r>
      <w:r/>
    </w:p>
    <w:tbl>
      <w:tblPr>
        <w:tblStyle w:val="951"/>
        <w:tblW w:w="5000" w:type="pct"/>
        <w:tblInd w:w="0" w:type="dxa"/>
        <w:tblLayout w:type="fixed"/>
        <w:tblCellMar>
          <w:left w:w="85" w:type="dxa"/>
          <w:top w:w="28" w:type="dxa"/>
          <w:right w:w="85" w:type="dxa"/>
          <w:bottom w:w="28" w:type="dxa"/>
        </w:tblCellMar>
        <w:tblLook w:val="04A0" w:firstRow="1" w:lastRow="0" w:firstColumn="1" w:lastColumn="0" w:noHBand="0" w:noVBand="1"/>
      </w:tblPr>
      <w:tblGrid>
        <w:gridCol w:w="9498"/>
      </w:tblGrid>
      <w:tr>
        <w:tblPrEx/>
        <w:trPr>
          <w:trHeight w:val="262"/>
        </w:trPr>
        <w:tc>
          <w:tcPr>
            <w:tcBorders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120" w:after="0"/>
              <w:widowControl/>
              <w:rPr>
                <w:bCs/>
              </w:rPr>
            </w:pPr>
            <w:r>
              <w:rPr>
                <w:b/>
                <w:sz w:val="16"/>
                <w:szCs w:val="16"/>
                <w:lang w:val="ru-RU" w:eastAsia="zh-CN" w:bidi="ar-SA"/>
              </w:rPr>
              <w:t xml:space="preserve">Данные электронной подписи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Владелец: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Организация: </w:t>
            </w:r>
            <w:r>
              <w:fldChar w:fldCharType="begin"/>
            </w:r>
            <w:r>
              <w:rPr>
                <w:sz w:val="16"/>
                <w:szCs w:val="16"/>
                <w:lang w:val="ru-RU" w:eastAsia="zh-CN" w:bidi="ar-SA"/>
              </w:rPr>
              <w:instrText xml:space="preserve">Документ_ЭлПодпись_Организация_Участник</w:instrText>
            </w:r>
            <w:r>
              <w:rPr>
                <w:sz w:val="16"/>
                <w:szCs w:val="16"/>
                <w:lang w:val="ru-RU" w:eastAsia="zh-CN" w:bidi="ar-SA"/>
              </w:rPr>
              <w:fldChar w:fldCharType="separate"/>
            </w:r>
            <w:r>
              <w:rPr>
                <w:b/>
                <w:bCs/>
                <w:sz w:val="16"/>
                <w:szCs w:val="16"/>
                <w:lang w:val="ru-RU" w:eastAsia="zh-CN" w:bidi="ar-SA"/>
              </w:rPr>
              <w:t xml:space="preserve">.</w:t>
            </w:r>
            <w:r>
              <w:rPr>
                <w:sz w:val="16"/>
                <w:szCs w:val="16"/>
                <w:lang w:val="ru-RU" w:eastAsia="zh-CN" w:bidi="ar-SA"/>
              </w:rPr>
              <w:fldChar w:fldCharType="end"/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Подписано: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bCs/>
                <w:lang w:eastAsia="zh-CN"/>
              </w:rPr>
            </w:pPr>
            <w:r>
              <w:rPr>
                <w:b/>
                <w:sz w:val="16"/>
                <w:szCs w:val="16"/>
                <w:lang w:val="ru-RU" w:eastAsia="zh-CN" w:bidi="ar-SA"/>
              </w:rPr>
              <w:t xml:space="preserve">Данные сертификата</w:t>
            </w:r>
            <w:r>
              <w:rPr>
                <w:bCs/>
                <w:lang w:eastAsia="zh-CN"/>
              </w:rPr>
            </w:r>
            <w:r>
              <w:rPr>
                <w:bCs/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Серийный номер: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Срок действия: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</w:tbl>
    <w:p>
      <w:pPr>
        <w:pStyle w:val="751"/>
        <w:ind w:left="7655" w:firstLine="0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51"/>
      </w:pPr>
      <w:r>
        <w:rPr>
          <w:sz w:val="20"/>
          <w:szCs w:val="20"/>
        </w:rPr>
      </w:r>
      <w:r>
        <w:br w:type="page" w:clear="all"/>
      </w:r>
      <w:r>
        <w:rPr>
          <w:sz w:val="20"/>
          <w:szCs w:val="20"/>
        </w:rPr>
      </w:r>
      <w:r/>
    </w:p>
    <w:p>
      <w:pPr>
        <w:pStyle w:val="751"/>
        <w:ind w:left="7655" w:firstLine="0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Приложение 2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1"/>
        <w:ind w:firstLine="8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ДОГОВОР АРЕНДЫ ЗЕМЕЛЬНОГО УЧАСТКА №._______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город Кострома                                                                                                «___» _________ 20__ года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Управление имущественных и земельных отношений Администрации города Костромы</w:t>
      </w:r>
      <w:r>
        <w:rPr>
          <w:rFonts w:ascii="Times New Roman" w:hAnsi="Times New Roman" w:cs="Times New Roman"/>
          <w:sz w:val="22"/>
          <w:szCs w:val="22"/>
        </w:rPr>
        <w:t xml:space="preserve">, в лице _____________________________________, действующего на основании П</w:t>
      </w:r>
      <w:r>
        <w:rPr>
          <w:rFonts w:ascii="Times New Roman" w:hAnsi="Times New Roman" w:cs="Times New Roman"/>
          <w:sz w:val="22"/>
          <w:szCs w:val="22"/>
        </w:rPr>
        <w:t xml:space="preserve">оложения об Управлении, утвержденного постановлением Администрации города Костромы от 23 марта 2015 года № 604 и кадрового распоряжения Администрации города Костромы от ___________________________, именуемое в дальнейшем «Арендодатель», с одной стороны, и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, в лице ____________________________, действующего на </w:t>
      </w:r>
      <w:r>
        <w:rPr>
          <w:rFonts w:ascii="Times New Roman" w:hAnsi="Times New Roman" w:cs="Times New Roman"/>
          <w:sz w:val="22"/>
          <w:szCs w:val="22"/>
        </w:rPr>
        <w:t xml:space="preserve">основании __________, именуемое в дальнейшем «Арендатор», совместно именуемые «Стороны», в соответствии со статьями 39.1, 39.6, 39.7, 39.8, 39.12, 39.13 Земельного кодекса Российской Федерации, заключили настоящий договор (далее – Договор) о нижеследующем: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1. Предмет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4"/>
        </w:numPr>
        <w:ind w:left="0"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Арендода</w:t>
      </w:r>
      <w:r>
        <w:rPr>
          <w:rFonts w:ascii="Times New Roman" w:hAnsi="Times New Roman" w:cs="Times New Roman"/>
          <w:sz w:val="22"/>
          <w:szCs w:val="22"/>
        </w:rPr>
        <w:t xml:space="preserve">тель обязуется предоставить Арендатору в аренду для строительства земельный участок из земель населенных пунктов, государственная собственность на которые не разграничена, с кадастровым номером ___________________ по адресу: Российская Федерация, Костромск</w:t>
      </w:r>
      <w:r>
        <w:rPr>
          <w:rFonts w:ascii="Times New Roman" w:hAnsi="Times New Roman" w:cs="Times New Roman"/>
          <w:sz w:val="22"/>
          <w:szCs w:val="22"/>
        </w:rPr>
        <w:t xml:space="preserve">ая область, город Кострома, ________________ (далее – Участок), вид разрешенного использования: ___________________, в границах, указанных в кадастровом паспорте Участка (дата и номер кадастрового паспорта), общей площадью __________ квадратных метра (ов).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4"/>
        </w:numPr>
        <w:ind w:left="0"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Участок имеет следующие ограничения (обременения):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1.3. Внесение изменений в Договор в части изменения вида разрешенного использования земельного участка не допускается.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2. Срок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5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 заключен сроком на ______ с даты его подписания Сторонами.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5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Договор, заключенный на срок один год и более, подлежит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5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 земельного участка не имеет преимущественного права на заключения на новый срок договора аренды такого земельного участка без проведения торгов.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3. Размер и условия внесения арендной платы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right="-5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 аренду земельного участка, указанного в пункте 1.1. Договора начисляется ежегодная арендная плата в сумме ______________ рублей.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tabs>
          <w:tab w:val="clear" w:pos="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 перечисляет Арендодателю на расчетный сче</w:t>
      </w:r>
      <w:r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Управления Федерального казначейства по Костромской области (Управление имущественных и земельных отношений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Администрации города Костромы),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ИНН 4401006568, КПП 440101001, единый казначейский счет 40102810945370000034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казначейский счет 03100643000000014100,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б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анк получателя ОТДЕЛЕНИЕ КОСТРОМА БАНКА РОССИИ//УФК ПО КОСТРОМСКОЙ ОБЛАСТИ г. Кострома, БИК 013469126, КБК 96611105012040000120, ОКТМО 34701000</w:t>
      </w:r>
      <w:r>
        <w:rPr>
          <w:rFonts w:ascii="Times New Roman" w:hAnsi="Times New Roman" w:cs="Times New Roman"/>
          <w:sz w:val="22"/>
          <w:szCs w:val="22"/>
        </w:rPr>
        <w:t xml:space="preserve">,</w:t>
      </w:r>
      <w:r>
        <w:rPr>
          <w:rFonts w:ascii="Times New Roman" w:hAnsi="Times New Roman" w:cs="Times New Roman"/>
          <w:sz w:val="22"/>
          <w:szCs w:val="22"/>
        </w:rPr>
        <w:t xml:space="preserve"> «За аренду земельного участка по адресу: 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_____________, договор № ______________________», арендную плату за за первый год аренды земельного участка, указанного в пункте 1.1 Договора, в сумме ______________________ (с учетом задатка) в течение 10 дней с даты подписания настоящего Д</w:t>
      </w:r>
      <w:r>
        <w:rPr>
          <w:rFonts w:ascii="Times New Roman" w:hAnsi="Times New Roman" w:cs="Times New Roman"/>
          <w:sz w:val="22"/>
          <w:szCs w:val="22"/>
        </w:rPr>
        <w:t xml:space="preserve">оговора. Днем оплаты арендной платы, указанной в Договоре, считается день зачисления денежных средств на расчетный счет Арендодателя. Перечисленный Арендодателю задаток за участие в аукционе на право заключения договора аренды земельного участка в размере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зачисляется в счет арендной платы за земельный участок по настоящему Договору.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Сроки внесения арендной платы: до окончания срока аренды ежегодно в сумме _____________ рублей не позднее __________.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Размер арендной платы устанавливается на основании протокола о результатах торгов. В сумму первого платежа по Договору включается сумма задатка, уплаченная Покупателем по заявке.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 превышения платежа над начисленной суммой по арендной плате погашается задолженность по п</w:t>
      </w:r>
      <w:r>
        <w:rPr>
          <w:rFonts w:ascii="Times New Roman" w:hAnsi="Times New Roman" w:cs="Times New Roman"/>
          <w:sz w:val="22"/>
          <w:szCs w:val="22"/>
        </w:rPr>
        <w:t xml:space="preserve">еням за первый период (и последующий за ним), в котором образовалась задолженность. После погашения пеней, штрафов и всей суммы задолженности по арендной плате, оставшаяся сумма считается авансовым внесением арендной платы за ближайший оплачиваемый период.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Взаиморасчеты сторон по настоящему Договору фиксируются актом сверки, который составляется Арендодателем. В течение пяти рабочих дней со дня получения акта сверки, Арендатор обязан подписать его или представить мотивированный отказ.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Если в течение указанного срока Арендатор не подписывает акт сверки и не представляет мотивированный отказ от его подписания, акт сверки считается подписанным Арендатором.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случае, одностороннего отказа, предусмотренного пунктом 6.2. настоящего Договора, </w:t>
      </w:r>
      <w:r>
        <w:rPr>
          <w:rFonts w:ascii="Times New Roman" w:hAnsi="Times New Roman" w:cs="Times New Roman"/>
          <w:sz w:val="22"/>
          <w:szCs w:val="22"/>
        </w:rPr>
        <w:t xml:space="preserve">досрочного расторжения Договора в случаях, предусмотренных пунктами 6.2.1.-6.2.6. настоящего Договора, арендная плата, </w:t>
      </w:r>
      <w:r>
        <w:rPr>
          <w:rFonts w:ascii="Times New Roman" w:hAnsi="Times New Roman" w:cs="Times New Roman"/>
          <w:sz w:val="22"/>
          <w:szCs w:val="22"/>
        </w:rPr>
        <w:t xml:space="preserve">предусмотренная пунктом 3.1. настоящего Договора, возврату Арендатору не подлежит.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4. Права и обязанности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 Арендодатель имеет право: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4.1.1. На односторонний отказ от исполнения Договора во внесудебном порядке, в случаях, предусмотренных пунктом 6.2.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4.1.2. На досрочное расторжение Договора в судебном порядке, в случаях, предусмотренных пунктом 6.4.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4.1.3. На беспрепятственный доступ на территорию арендуемого земельного участка с целью его осмотра на предмет соблюдения условий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4.1.4.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 Арендодатель обязан: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4.2.1. Выполнять в полном объеме все условия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4.2.2. Передать Арендатору участок по акту приема – передачи.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4.2.3. Письменно и своевременно уведомить Арендатора в случае изменения номеров счетов для перечисления арендной платы, указанных в пункте 3.2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4.2.4. Письменно сообщить Арендатору не позднее, чем за 14 (четырнадцать) дней о необходимости освобождения Участка при досрочном расторжении Договора или одностороннем отказе от исполнения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4.2.5. Предоставлять расчет арендной платы Арендатору по его требованию.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 Арендатор имеет право: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4.3.1. Использовать Участок на условиях, установленных Договором.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 Арендатор обязан: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4.4.1. Выполнять в полном объеме все условия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4.4.2. Использовать Участок в соответствии с целевым назначением и разрешенным использованием.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4.4.3. Без получения счета и в соответствии с условиями договора уплачивать в размере и на условиях, установленных Договором, арендную плату.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4.4.4.</w:t>
        <w:tab/>
        <w:t xml:space="preserve">Обеспечивать Арендодателю и его представителям, пр</w:t>
      </w:r>
      <w:r>
        <w:rPr>
          <w:rFonts w:ascii="Times New Roman" w:hAnsi="Times New Roman" w:cs="Times New Roman"/>
          <w:sz w:val="22"/>
          <w:szCs w:val="22"/>
        </w:rPr>
        <w:t xml:space="preserve">едставителям органов государственного и муниципального земельного контроля доступ на Участок по их требованию и выполнять все предписания указанных должностных лиц, соответствующим службам доступ для эксплуатации, ремонта и обслуживания линий коммуникаций.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4.4.5. Письменно сообщить Арендод</w:t>
      </w:r>
      <w:r>
        <w:rPr>
          <w:rFonts w:ascii="Times New Roman" w:hAnsi="Times New Roman" w:cs="Times New Roman"/>
          <w:sz w:val="22"/>
          <w:szCs w:val="22"/>
        </w:rPr>
        <w:t xml:space="preserve">ателю не позднее, чем за 1 (один) месяц о предстоящем освобождении Участка в связи с окончанием срока действия Договора. Передача земельного участка по акту приема-передачи осуществляется Арендатором в день, следующий за днем прекращения действия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4.4.6. Не допускать действий, приводящих к ухудшению экологической обстановки на арендуемом земельном участке и прилегающих к нему территориях.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4.4.7. За свой счет выполнять работы по благоустройству территории, поддержанию ее в надлежащем санитарном состоянии в соответствии с законодательством Костромской области и нормативными правовыми актами органов местного самоуправления.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4.4.8. В 10-дневный срок направить Арендодателю письменное уведомление об изменении названия, юридического адреса, электронной почты, расчетного счета или прекращения деятельности п</w:t>
      </w:r>
      <w:r>
        <w:rPr>
          <w:rFonts w:ascii="Times New Roman" w:hAnsi="Times New Roman" w:cs="Times New Roman"/>
          <w:sz w:val="22"/>
          <w:szCs w:val="22"/>
        </w:rPr>
        <w:t xml:space="preserve">редприятия, учреждения или организации в случае, если Арендатор – юридическое лицо; об изменении фамилии, имени, отчества, адреса места жительства, номера телефона, номера факса и электронной почты (если имеется) в случае, если Арендатор – физическое лицо.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4.4.9. Соблюдать санитарные, противопожарные нормы и требования, действующие правила благоустройства территории города Костромы, а так же иные требования, установленные действующим законодательством.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  <w:t xml:space="preserve">4.4.10. </w:t>
      </w:r>
      <w:r>
        <w:rPr>
          <w:rFonts w:ascii="Times New Roman" w:hAnsi="Times New Roman" w:cs="Times New Roman"/>
          <w:iCs/>
          <w:sz w:val="22"/>
          <w:szCs w:val="22"/>
          <w:lang w:eastAsia="ru-RU"/>
        </w:rPr>
        <w:t xml:space="preserve">Получить разрешение на рубку (обрезку) древесно-кустарниковой растительности и ликвидацию трав</w:t>
      </w:r>
      <w:r>
        <w:rPr>
          <w:rFonts w:ascii="Times New Roman" w:hAnsi="Times New Roman" w:cs="Times New Roman"/>
          <w:iCs/>
          <w:sz w:val="22"/>
          <w:szCs w:val="22"/>
          <w:lang w:eastAsia="ru-RU"/>
        </w:rPr>
        <w:t xml:space="preserve">яного покрова в соответствии с Порядком выдачи разрешений на рубку (обрезку) древесно-кустарниковой растительности и ликвидацию травяного покрова на территории города Костромы, утвержденным постановлением Главы города Костромы от 30 июня 2009 года № 1169</w:t>
      </w:r>
      <w:r>
        <w:rPr>
          <w:rFonts w:ascii="Times New Roman" w:hAnsi="Times New Roman" w:cs="Times New Roman"/>
          <w:sz w:val="22"/>
          <w:szCs w:val="22"/>
          <w:highlight w:val="none"/>
        </w:rPr>
        <w:t xml:space="preserve">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4.4.11. В случае если Участок находится в зоне археологического слоя, соблюдать особые условия использования земельного участка и режим хозяйственной деятельности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4.4.12. Не передавать арендованный земельный участок в субаренду, а также права и обязанности по договору третьим лицам, не осуществлять мероприятий по его разделу, объединению, перераспределению, выделу.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4.4.13. Возвратить Участок в надлежащем состоянии по окончанию действия Договора, при досрочном расторжении Договора, одностороннем отказе от исполнения Договора в день, следующий за днем прекращения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4.4.14. Оформить разрешение на строительство и проведение земляных работ при прокладке инженерных сетей в Администрации города Костромы.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5. Ответственность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5.1. Ответственность за состояние Участка наступает у Арендатора с момента подписания Сторонами акта приема-передачи и прекращается с момента подписания акта о его передаче Арендодателю.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5.2. За нарушение услов</w:t>
      </w:r>
      <w:r>
        <w:rPr>
          <w:rFonts w:ascii="Times New Roman" w:hAnsi="Times New Roman" w:cs="Times New Roman"/>
          <w:sz w:val="22"/>
          <w:szCs w:val="22"/>
        </w:rPr>
        <w:t xml:space="preserve">ий Договора Стороны несут ответственность, предусмотренную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5.3.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За нарушение срока внесения арендной платы по Договору Арендатор выплачивает Арендодателю пени из расчета 1/150 ставки рефинансирования Центрального Банка Российской Федерации от размера невнесенной арендной платы за каждый календарный день просрочки.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Пени начисляются со дня образования задолженности по арендной плате и перечисляются на следующие реквизиты: получатель УФК по Костромской области (Управление имущественных и земельных отношений Администрации города Костромы), ИНН 4401006568, КПП 440101001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96611607090040002140, ОКТМО 34701000.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5.4. В случае если Арендатор в срок</w:t>
      </w:r>
      <w:r>
        <w:rPr>
          <w:rFonts w:ascii="Times New Roman" w:hAnsi="Times New Roman" w:cs="Times New Roman"/>
          <w:sz w:val="22"/>
          <w:szCs w:val="22"/>
        </w:rPr>
        <w:t xml:space="preserve">, установленный в пункте 4.4.12 Договора, не возвратил Участок, либо возвратил его несвоевременно, уплачивается штраф в размере 1/12 ежегодной арендной платы, при этом действие договора не считается возобновленным на тех же условиях на неопределенный срок.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5.5. В случае невыполнения действий, указанных в пунктах 4.4.2, 4.4.6, 4.4.8, 4.4.11, 4.4.13 Договора, Арендатор уплачивает штраф в размере 1/12 ежегодной арендной платы.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5.6.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6. Изменение, расторжение и прекращение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6.1. Все изменения и (или) дополнения к Договору оформляются Сторонами в письменной форме.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Арендодатель имеет право на односторонний отказ от исполнения Договора, если такой Договор заключен на срок не более чем пять лет, в случаях: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6.2.1. при использовании земельного участка не в соответствии с его целевым назначением и разрешенным использованием, предусмотренным в пункте 1.1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6.2.2. при существенном ухудшении состояния земельного участка;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6.2.3. невнесения и (или) неполного внесения Арендатором арендной платы по истечении установленного Договором срока платежа;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6.2.4. при изъятии земельного участка для государственных или муниципальных нужд в соответствии с правилами, установленными действующим законодательством Российской Федерации;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6.2.5. при использовании земельного участка с иными существенными нарушениями условий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6.2.6. в иных случаях, предусмотренных действующим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В случае одностороннего отказа </w:t>
      </w:r>
      <w:r>
        <w:rPr>
          <w:rFonts w:ascii="Times New Roman" w:hAnsi="Times New Roman" w:cs="Times New Roman"/>
          <w:sz w:val="22"/>
          <w:szCs w:val="22"/>
        </w:rPr>
        <w:t xml:space="preserve">от исполнения Договора, Договор считается расторгнутым по истечении 14 (четырнадцати) дней с момента получения Арендатором уведомления об одностороннем отказе от исполнения Договора. Уведомление направляется Арендодателем заказным письмом с уведомлением и </w:t>
      </w:r>
      <w:r>
        <w:rPr>
          <w:rFonts w:ascii="Times New Roman" w:hAnsi="Times New Roman" w:cs="Times New Roman"/>
          <w:sz w:val="22"/>
          <w:szCs w:val="22"/>
        </w:rPr>
        <w:t xml:space="preserve">считается полученным в день его получения Арендатором либо в день извещения организацией почтовой связи об отсутствии Арендатора по всем адресам, указанным в Договоре. В этом случае заключение дополнительного соглашения о расторжении Договора не требуется.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Односторонний отказ от исполнения Договора возможен способом факсимильной связи, либо путем направления уведомления на электронную почту, если Арендатором в Договоре указаны соответствующие реквизиты.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6.4. Если иное не предусмотрено федеральным законодательством, досрочное расторжение Договора,</w:t>
      </w:r>
      <w:r>
        <w:rPr>
          <w:rFonts w:ascii="Times New Roman" w:hAnsi="Times New Roman" w:cs="Times New Roman"/>
          <w:sz w:val="22"/>
          <w:szCs w:val="22"/>
        </w:rPr>
        <w:t xml:space="preserve"> заключенного на срок более чем пять лет по требованию Арендодателя возможно только на основании решения суда в случаях, предусмотренных пунктами 6.2.1 – 6.2.6 Договора. Условия об одностороннем отказе от исполнения Договора в данном случае не применяются.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6.5. Односторонний отказ от исполнения Договора, предусмотренный пу</w:t>
      </w:r>
      <w:r>
        <w:rPr>
          <w:rFonts w:ascii="Times New Roman" w:hAnsi="Times New Roman" w:cs="Times New Roman"/>
          <w:sz w:val="22"/>
          <w:szCs w:val="22"/>
        </w:rPr>
        <w:t xml:space="preserve">нктом 6.2 Договора, допускается только в том случае, если Арендатор использует Участок в целях осуществления предпринимательской деятельности. В иных случаях допускается только досрочное расторжение Договора в порядке, предусмотренном пунктом 6.4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6.6. Договор считается прекращенным по истечении срока, на который он заключен.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6.7. При прекращени</w:t>
      </w:r>
      <w:r>
        <w:rPr>
          <w:rFonts w:ascii="Times New Roman" w:hAnsi="Times New Roman" w:cs="Times New Roman"/>
          <w:sz w:val="22"/>
          <w:szCs w:val="22"/>
        </w:rPr>
        <w:t xml:space="preserve">и Договора, Арендатор обязан вернуть Арендодателю Участок в надлежащем состоянии. В случае если Арендатор уклонился от возвращения Участка, Участок считается возвращенным Арендодателю со дня составления Арендодателем акта об одностороннем возврате Участка.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7. Рассмотрение и урегулирование споров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7.1. Все споры между Сторонами, возникающие по Договору, разрешаются в соответствии с законодательством Российской Федерации в судах Костромской области по месту нахождения Арендодателя.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8. Особые условия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after="0" w:line="288" w:lineRule="atLeast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2"/>
          <w:szCs w:val="22"/>
        </w:rPr>
        <w:t xml:space="preserve">8.1. Насто</w:t>
      </w:r>
      <w:r>
        <w:rPr>
          <w:rFonts w:ascii="Times New Roman" w:hAnsi="Times New Roman" w:cs="Times New Roman"/>
          <w:sz w:val="22"/>
          <w:szCs w:val="22"/>
        </w:rPr>
        <w:t xml:space="preserve">ящий Договор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t xml:space="preserve">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9. Реквизиты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Арендодатель: Управление имущественных и земельных отношений Администрации города Костромы, 156005, город Кострома, площадь Конституции, дом 2, ИНН 4401006568, ОГРН: 1034408610411, КПП 440101001, номер телефона: +7 (4942) 42-68-41.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Арендатор:  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10. Подписи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W w:w="982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327"/>
        <w:gridCol w:w="4500"/>
      </w:tblGrid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Арендодатель: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1"/>
              <w:ind w:firstLine="65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Арендатор: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1"/>
              <w:ind w:firstLine="8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51"/>
              <w:ind w:firstLine="180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1"/>
              <w:ind w:firstLine="60"/>
              <w:jc w:val="center"/>
              <w:spacing w:after="0" w:afterAutospacing="0"/>
              <w:widowControl w:val="off"/>
              <w:tabs>
                <w:tab w:val="clear" w:pos="708" w:leader="none"/>
                <w:tab w:val="left" w:pos="1832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751"/>
        <w:jc w:val="both"/>
        <w:spacing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7655" w:firstLine="0"/>
        <w:jc w:val="both"/>
        <w:widowControl w:val="off"/>
      </w:pPr>
      <w:r>
        <w:rPr>
          <w:sz w:val="20"/>
          <w:szCs w:val="20"/>
        </w:rPr>
      </w:r>
      <w:r/>
    </w:p>
    <w:sectPr>
      <w:footnotePr>
        <w:numFmt w:val="decimal"/>
      </w:footnotePr>
      <w:endnotePr/>
      <w:type w:val="nextPage"/>
      <w:pgSz w:w="11906" w:h="16838" w:orient="portrait"/>
      <w:pgMar w:top="425" w:right="707" w:bottom="681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alibri">
    <w:panose1 w:val="020F0502020204030204"/>
  </w:font>
  <w:font w:name="Mangal">
    <w:panose1 w:val="02040503050203030202"/>
  </w:font>
  <w:font w:name="a_Timer">
    <w:panose1 w:val="02000603000000000000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  <w:footnote w:id="2">
    <w:p>
      <w:pPr>
        <w:pStyle w:val="822"/>
        <w:contextualSpacing/>
        <w:jc w:val="both"/>
        <w:spacing w:before="0" w:after="0" w:line="216" w:lineRule="auto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юридическим лицом, или лицом действующим на основании доверенности.</w:t>
      </w:r>
      <w:r/>
    </w:p>
  </w:footnote>
  <w:footnote w:id="3">
    <w:p>
      <w:pPr>
        <w:pStyle w:val="751"/>
        <w:jc w:val="both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лицом, действующим по доверенности.</w:t>
      </w:r>
      <w:r/>
    </w:p>
  </w:footnote>
  <w:footnote w:id="4">
    <w:p>
      <w:pPr>
        <w:pStyle w:val="822"/>
        <w:contextualSpacing/>
        <w:jc w:val="both"/>
        <w:spacing w:before="0" w:after="0" w:line="216" w:lineRule="auto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Ознакомлен с Регламентом Оператора электронной площадки при регистрации (аккредитации) на электронной площадке</w:t>
      </w:r>
      <w:r>
        <w:rPr>
          <w:sz w:val="18"/>
          <w:szCs w:val="18"/>
        </w:rPr>
      </w:r>
      <w:r/>
    </w:p>
  </w:footnote>
  <w:footnote w:id="5">
    <w:p>
      <w:pPr>
        <w:pStyle w:val="822"/>
        <w:contextualSpacing/>
        <w:jc w:val="both"/>
        <w:spacing w:before="0" w:after="0" w:line="216" w:lineRule="auto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</w:t>
      </w:r>
      <w:r>
        <w:rPr>
          <w:sz w:val="18"/>
          <w:szCs w:val="18"/>
        </w:rPr>
        <w:t xml:space="preserve">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6">
    <w:name w:val="Heading 1 Char"/>
    <w:basedOn w:val="761"/>
    <w:link w:val="752"/>
    <w:uiPriority w:val="9"/>
    <w:rPr>
      <w:rFonts w:ascii="Arial" w:hAnsi="Arial" w:eastAsia="Arial" w:cs="Arial"/>
      <w:sz w:val="40"/>
      <w:szCs w:val="40"/>
    </w:rPr>
  </w:style>
  <w:style w:type="character" w:styleId="737">
    <w:name w:val="Heading 2 Char"/>
    <w:basedOn w:val="761"/>
    <w:link w:val="753"/>
    <w:uiPriority w:val="9"/>
    <w:rPr>
      <w:rFonts w:ascii="Arial" w:hAnsi="Arial" w:eastAsia="Arial" w:cs="Arial"/>
      <w:sz w:val="34"/>
    </w:rPr>
  </w:style>
  <w:style w:type="character" w:styleId="738">
    <w:name w:val="Heading 3 Char"/>
    <w:basedOn w:val="761"/>
    <w:link w:val="754"/>
    <w:uiPriority w:val="9"/>
    <w:rPr>
      <w:rFonts w:ascii="Arial" w:hAnsi="Arial" w:eastAsia="Arial" w:cs="Arial"/>
      <w:sz w:val="30"/>
      <w:szCs w:val="30"/>
    </w:rPr>
  </w:style>
  <w:style w:type="character" w:styleId="739">
    <w:name w:val="Heading 4 Char"/>
    <w:basedOn w:val="761"/>
    <w:link w:val="755"/>
    <w:uiPriority w:val="9"/>
    <w:rPr>
      <w:rFonts w:ascii="Arial" w:hAnsi="Arial" w:eastAsia="Arial" w:cs="Arial"/>
      <w:b/>
      <w:bCs/>
      <w:sz w:val="26"/>
      <w:szCs w:val="26"/>
    </w:rPr>
  </w:style>
  <w:style w:type="character" w:styleId="740">
    <w:name w:val="Heading 5 Char"/>
    <w:basedOn w:val="761"/>
    <w:link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741">
    <w:name w:val="Heading 6 Char"/>
    <w:basedOn w:val="761"/>
    <w:link w:val="757"/>
    <w:uiPriority w:val="9"/>
    <w:rPr>
      <w:rFonts w:ascii="Arial" w:hAnsi="Arial" w:eastAsia="Arial" w:cs="Arial"/>
      <w:b/>
      <w:bCs/>
      <w:sz w:val="22"/>
      <w:szCs w:val="22"/>
    </w:rPr>
  </w:style>
  <w:style w:type="character" w:styleId="742">
    <w:name w:val="Heading 7 Char"/>
    <w:basedOn w:val="761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>
    <w:name w:val="Heading 8 Char"/>
    <w:basedOn w:val="761"/>
    <w:link w:val="759"/>
    <w:uiPriority w:val="9"/>
    <w:rPr>
      <w:rFonts w:ascii="Arial" w:hAnsi="Arial" w:eastAsia="Arial" w:cs="Arial"/>
      <w:i/>
      <w:iCs/>
      <w:sz w:val="22"/>
      <w:szCs w:val="22"/>
    </w:rPr>
  </w:style>
  <w:style w:type="character" w:styleId="744">
    <w:name w:val="Heading 9 Char"/>
    <w:basedOn w:val="761"/>
    <w:link w:val="760"/>
    <w:uiPriority w:val="9"/>
    <w:rPr>
      <w:rFonts w:ascii="Arial" w:hAnsi="Arial" w:eastAsia="Arial" w:cs="Arial"/>
      <w:i/>
      <w:iCs/>
      <w:sz w:val="21"/>
      <w:szCs w:val="21"/>
    </w:rPr>
  </w:style>
  <w:style w:type="character" w:styleId="745">
    <w:name w:val="Title Char"/>
    <w:basedOn w:val="761"/>
    <w:link w:val="796"/>
    <w:uiPriority w:val="10"/>
    <w:rPr>
      <w:sz w:val="48"/>
      <w:szCs w:val="48"/>
    </w:rPr>
  </w:style>
  <w:style w:type="character" w:styleId="746">
    <w:name w:val="Subtitle Char"/>
    <w:basedOn w:val="761"/>
    <w:link w:val="797"/>
    <w:uiPriority w:val="11"/>
    <w:rPr>
      <w:sz w:val="24"/>
      <w:szCs w:val="24"/>
    </w:rPr>
  </w:style>
  <w:style w:type="character" w:styleId="747">
    <w:name w:val="Quote Char"/>
    <w:link w:val="798"/>
    <w:uiPriority w:val="29"/>
    <w:rPr>
      <w:i/>
    </w:rPr>
  </w:style>
  <w:style w:type="character" w:styleId="748">
    <w:name w:val="Intense Quote Char"/>
    <w:link w:val="799"/>
    <w:uiPriority w:val="30"/>
    <w:rPr>
      <w:i/>
    </w:rPr>
  </w:style>
  <w:style w:type="character" w:styleId="749">
    <w:name w:val="Endnote Text Char"/>
    <w:link w:val="801"/>
    <w:uiPriority w:val="99"/>
    <w:rPr>
      <w:sz w:val="20"/>
    </w:rPr>
  </w:style>
  <w:style w:type="paragraph" w:styleId="750">
    <w:name w:val="toc 2"/>
    <w:basedOn w:val="751"/>
    <w:next w:val="751"/>
    <w:uiPriority w:val="39"/>
    <w:unhideWhenUsed/>
    <w:pPr>
      <w:ind w:left="283" w:right="0" w:firstLine="0"/>
      <w:spacing w:after="57"/>
    </w:pPr>
  </w:style>
  <w:style w:type="paragraph" w:styleId="751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52">
    <w:name w:val="Heading 1"/>
    <w:basedOn w:val="751"/>
    <w:next w:val="751"/>
    <w:link w:val="8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53">
    <w:name w:val="Heading 2"/>
    <w:basedOn w:val="751"/>
    <w:next w:val="751"/>
    <w:link w:val="7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4">
    <w:name w:val="Heading 3"/>
    <w:basedOn w:val="751"/>
    <w:next w:val="751"/>
    <w:link w:val="8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5">
    <w:name w:val="Heading 4"/>
    <w:basedOn w:val="751"/>
    <w:next w:val="751"/>
    <w:link w:val="8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basedOn w:val="751"/>
    <w:next w:val="751"/>
    <w:link w:val="8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57">
    <w:name w:val="Heading 6"/>
    <w:basedOn w:val="751"/>
    <w:next w:val="751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8">
    <w:name w:val="Heading 7"/>
    <w:basedOn w:val="751"/>
    <w:next w:val="751"/>
    <w:link w:val="7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9">
    <w:name w:val="Heading 8"/>
    <w:basedOn w:val="751"/>
    <w:next w:val="751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0">
    <w:name w:val="Heading 9"/>
    <w:basedOn w:val="751"/>
    <w:next w:val="751"/>
    <w:link w:val="7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1" w:default="1">
    <w:name w:val="Default Paragraph Font"/>
    <w:uiPriority w:val="1"/>
    <w:semiHidden/>
    <w:unhideWhenUsed/>
    <w:qFormat/>
  </w:style>
  <w:style w:type="character" w:styleId="762" w:customStyle="1">
    <w:name w:val="Заголовок 2 Знак"/>
    <w:basedOn w:val="761"/>
    <w:uiPriority w:val="9"/>
    <w:qFormat/>
    <w:rPr>
      <w:rFonts w:ascii="Arial" w:hAnsi="Arial" w:eastAsia="Arial" w:cs="Arial"/>
      <w:sz w:val="34"/>
    </w:rPr>
  </w:style>
  <w:style w:type="character" w:styleId="763" w:customStyle="1">
    <w:name w:val="Заголовок 6 Знак"/>
    <w:basedOn w:val="76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64" w:customStyle="1">
    <w:name w:val="Заголовок 7 Знак"/>
    <w:basedOn w:val="76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65" w:customStyle="1">
    <w:name w:val="Заголовок 8 Знак"/>
    <w:basedOn w:val="76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66" w:customStyle="1">
    <w:name w:val="Заголовок 9 Знак"/>
    <w:basedOn w:val="76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67" w:customStyle="1">
    <w:name w:val="Заголовок Знак"/>
    <w:basedOn w:val="761"/>
    <w:uiPriority w:val="10"/>
    <w:qFormat/>
    <w:rPr>
      <w:sz w:val="48"/>
      <w:szCs w:val="48"/>
    </w:rPr>
  </w:style>
  <w:style w:type="character" w:styleId="768" w:customStyle="1">
    <w:name w:val="Подзаголовок Знак"/>
    <w:basedOn w:val="761"/>
    <w:uiPriority w:val="11"/>
    <w:qFormat/>
    <w:rPr>
      <w:sz w:val="24"/>
      <w:szCs w:val="24"/>
    </w:rPr>
  </w:style>
  <w:style w:type="character" w:styleId="769" w:customStyle="1">
    <w:name w:val="Цитата 2 Знак"/>
    <w:link w:val="798"/>
    <w:uiPriority w:val="29"/>
    <w:qFormat/>
    <w:rPr>
      <w:i/>
    </w:rPr>
  </w:style>
  <w:style w:type="character" w:styleId="770" w:customStyle="1">
    <w:name w:val="Выделенная цитата Знак"/>
    <w:link w:val="799"/>
    <w:uiPriority w:val="30"/>
    <w:qFormat/>
    <w:rPr>
      <w:i/>
    </w:rPr>
  </w:style>
  <w:style w:type="character" w:styleId="771" w:customStyle="1">
    <w:name w:val="Header Char"/>
    <w:basedOn w:val="761"/>
    <w:uiPriority w:val="99"/>
    <w:qFormat/>
  </w:style>
  <w:style w:type="character" w:styleId="772" w:customStyle="1">
    <w:name w:val="Footer Char"/>
    <w:basedOn w:val="761"/>
    <w:uiPriority w:val="99"/>
    <w:qFormat/>
  </w:style>
  <w:style w:type="character" w:styleId="773" w:customStyle="1">
    <w:name w:val="Caption Char"/>
    <w:uiPriority w:val="99"/>
    <w:qFormat/>
  </w:style>
  <w:style w:type="character" w:styleId="774" w:customStyle="1">
    <w:name w:val="Footnote Text Char"/>
    <w:uiPriority w:val="99"/>
    <w:qFormat/>
    <w:rPr>
      <w:sz w:val="18"/>
    </w:rPr>
  </w:style>
  <w:style w:type="character" w:styleId="775" w:customStyle="1">
    <w:name w:val="Текст концевой сноски Знак"/>
    <w:uiPriority w:val="99"/>
    <w:qFormat/>
    <w:rPr>
      <w:sz w:val="20"/>
    </w:rPr>
  </w:style>
  <w:style w:type="character" w:styleId="776">
    <w:name w:val="Символ концевой сноски"/>
    <w:basedOn w:val="761"/>
    <w:uiPriority w:val="99"/>
    <w:semiHidden/>
    <w:unhideWhenUsed/>
    <w:qFormat/>
    <w:rPr>
      <w:vertAlign w:val="superscript"/>
    </w:rPr>
  </w:style>
  <w:style w:type="character" w:styleId="777">
    <w:name w:val="endnote reference"/>
    <w:rPr>
      <w:vertAlign w:val="superscript"/>
    </w:rPr>
  </w:style>
  <w:style w:type="character" w:styleId="778">
    <w:name w:val="FollowedHyperlink"/>
    <w:basedOn w:val="761"/>
    <w:uiPriority w:val="99"/>
    <w:unhideWhenUsed/>
    <w:qFormat/>
    <w:rPr>
      <w:color w:val="800080"/>
      <w:u w:val="single"/>
    </w:rPr>
  </w:style>
  <w:style w:type="character" w:styleId="779">
    <w:name w:val="Hyperlink"/>
    <w:basedOn w:val="761"/>
    <w:uiPriority w:val="99"/>
    <w:unhideWhenUsed/>
    <w:qFormat/>
    <w:rPr>
      <w:color w:val="0000ff"/>
      <w:u w:val="single"/>
    </w:rPr>
  </w:style>
  <w:style w:type="character" w:styleId="780">
    <w:name w:val="Strong"/>
    <w:basedOn w:val="761"/>
    <w:qFormat/>
    <w:rPr>
      <w:rFonts w:cs="Times New Roman"/>
      <w:b/>
      <w:bCs/>
    </w:rPr>
  </w:style>
  <w:style w:type="character" w:styleId="781" w:customStyle="1">
    <w:name w:val="Верхний колонтитул Знак"/>
    <w:basedOn w:val="761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82" w:customStyle="1">
    <w:name w:val="Нижний колонтитул Знак"/>
    <w:basedOn w:val="761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83" w:customStyle="1">
    <w:name w:val="10"/>
    <w:basedOn w:val="761"/>
    <w:qFormat/>
    <w:rPr>
      <w:rFonts w:ascii="Times New Roman" w:hAnsi="Times New Roman" w:cs="Times New Roman"/>
    </w:rPr>
  </w:style>
  <w:style w:type="character" w:styleId="784" w:customStyle="1">
    <w:name w:val="15"/>
    <w:basedOn w:val="761"/>
    <w:qFormat/>
    <w:rPr>
      <w:rFonts w:ascii="Times New Roman" w:hAnsi="Times New Roman" w:cs="Times New Roman"/>
      <w:color w:val="0000ff"/>
      <w:u w:val="single"/>
    </w:rPr>
  </w:style>
  <w:style w:type="character" w:styleId="785" w:customStyle="1">
    <w:name w:val="16"/>
    <w:basedOn w:val="761"/>
    <w:qFormat/>
    <w:rPr>
      <w:rFonts w:ascii="Times New Roman" w:hAnsi="Times New Roman" w:cs="Times New Roman"/>
    </w:rPr>
  </w:style>
  <w:style w:type="character" w:styleId="786" w:customStyle="1">
    <w:name w:val="rts-text"/>
    <w:basedOn w:val="761"/>
    <w:qFormat/>
  </w:style>
  <w:style w:type="character" w:styleId="787">
    <w:name w:val="Символ сноски"/>
    <w:qFormat/>
    <w:rPr>
      <w:vertAlign w:val="superscript"/>
    </w:rPr>
  </w:style>
  <w:style w:type="character" w:styleId="788">
    <w:name w:val="footnote reference"/>
    <w:rPr>
      <w:vertAlign w:val="superscript"/>
    </w:rPr>
  </w:style>
  <w:style w:type="character" w:styleId="789" w:customStyle="1">
    <w:name w:val="Текст сноски Знак"/>
    <w:basedOn w:val="761"/>
    <w:qFormat/>
    <w:rPr>
      <w:rFonts w:ascii="Times New Roman" w:hAnsi="Times New Roman" w:eastAsia="Times New Roman" w:cs="Times New Roman"/>
      <w:lang w:eastAsia="zh-CN"/>
    </w:rPr>
  </w:style>
  <w:style w:type="character" w:styleId="790" w:customStyle="1">
    <w:name w:val="Текст выноски Знак"/>
    <w:basedOn w:val="761"/>
    <w:link w:val="823"/>
    <w:uiPriority w:val="99"/>
    <w:semiHidden/>
    <w:qFormat/>
    <w:rPr>
      <w:rFonts w:ascii="Segoe UI" w:hAnsi="Segoe UI" w:eastAsia="Times New Roman" w:cs="Segoe UI"/>
      <w:sz w:val="18"/>
      <w:szCs w:val="18"/>
    </w:rPr>
  </w:style>
  <w:style w:type="paragraph" w:styleId="791">
    <w:name w:val="Заголовок"/>
    <w:basedOn w:val="751"/>
    <w:next w:val="79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792">
    <w:name w:val="Body Text"/>
    <w:basedOn w:val="751"/>
    <w:pPr>
      <w:spacing w:before="0" w:after="140" w:line="276" w:lineRule="auto"/>
    </w:pPr>
  </w:style>
  <w:style w:type="paragraph" w:styleId="793">
    <w:name w:val="List"/>
    <w:basedOn w:val="792"/>
    <w:rPr>
      <w:rFonts w:cs="Mangal"/>
    </w:rPr>
  </w:style>
  <w:style w:type="paragraph" w:styleId="794">
    <w:name w:val="Caption"/>
    <w:basedOn w:val="751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95">
    <w:name w:val="Указатель"/>
    <w:basedOn w:val="751"/>
    <w:qFormat/>
    <w:pPr>
      <w:suppressLineNumbers/>
    </w:pPr>
    <w:rPr>
      <w:rFonts w:cs="Mangal"/>
    </w:rPr>
  </w:style>
  <w:style w:type="paragraph" w:styleId="796">
    <w:name w:val="Title"/>
    <w:basedOn w:val="751"/>
    <w:next w:val="751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97">
    <w:name w:val="Subtitle"/>
    <w:basedOn w:val="751"/>
    <w:next w:val="751"/>
    <w:link w:val="768"/>
    <w:uiPriority w:val="11"/>
    <w:qFormat/>
    <w:pPr>
      <w:spacing w:before="200" w:after="200"/>
    </w:pPr>
  </w:style>
  <w:style w:type="paragraph" w:styleId="798">
    <w:name w:val="Quote"/>
    <w:basedOn w:val="751"/>
    <w:next w:val="751"/>
    <w:link w:val="769"/>
    <w:uiPriority w:val="29"/>
    <w:qFormat/>
    <w:pPr>
      <w:ind w:left="720" w:right="720" w:firstLine="0"/>
    </w:pPr>
    <w:rPr>
      <w:i/>
    </w:rPr>
  </w:style>
  <w:style w:type="paragraph" w:styleId="799">
    <w:name w:val="Intense Quote"/>
    <w:basedOn w:val="751"/>
    <w:next w:val="751"/>
    <w:link w:val="770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00">
    <w:name w:val="Caption"/>
    <w:basedOn w:val="751"/>
    <w:next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01">
    <w:name w:val="endnote text"/>
    <w:basedOn w:val="751"/>
    <w:link w:val="775"/>
    <w:uiPriority w:val="99"/>
    <w:semiHidden/>
    <w:unhideWhenUsed/>
    <w:rPr>
      <w:sz w:val="20"/>
    </w:rPr>
  </w:style>
  <w:style w:type="paragraph" w:styleId="802">
    <w:name w:val="toc 1"/>
    <w:basedOn w:val="751"/>
    <w:next w:val="751"/>
    <w:uiPriority w:val="39"/>
    <w:unhideWhenUsed/>
    <w:pPr>
      <w:spacing w:before="0" w:after="57"/>
    </w:pPr>
  </w:style>
  <w:style w:type="paragraph" w:styleId="803">
    <w:name w:val="toc 3"/>
    <w:basedOn w:val="751"/>
    <w:next w:val="751"/>
    <w:uiPriority w:val="39"/>
    <w:unhideWhenUsed/>
    <w:pPr>
      <w:ind w:left="567" w:firstLine="0"/>
      <w:spacing w:before="0" w:after="57"/>
    </w:pPr>
  </w:style>
  <w:style w:type="paragraph" w:styleId="804">
    <w:name w:val="toc 4"/>
    <w:basedOn w:val="751"/>
    <w:next w:val="751"/>
    <w:uiPriority w:val="39"/>
    <w:unhideWhenUsed/>
    <w:pPr>
      <w:ind w:left="850" w:firstLine="0"/>
      <w:spacing w:before="0" w:after="57"/>
    </w:pPr>
  </w:style>
  <w:style w:type="paragraph" w:styleId="805">
    <w:name w:val="toc 5"/>
    <w:basedOn w:val="751"/>
    <w:next w:val="751"/>
    <w:uiPriority w:val="39"/>
    <w:unhideWhenUsed/>
    <w:pPr>
      <w:ind w:left="1134" w:firstLine="0"/>
      <w:spacing w:before="0" w:after="57"/>
    </w:pPr>
  </w:style>
  <w:style w:type="paragraph" w:styleId="806">
    <w:name w:val="toc 6"/>
    <w:basedOn w:val="751"/>
    <w:next w:val="751"/>
    <w:uiPriority w:val="39"/>
    <w:unhideWhenUsed/>
    <w:pPr>
      <w:ind w:left="1417" w:firstLine="0"/>
      <w:spacing w:before="0" w:after="57"/>
    </w:pPr>
  </w:style>
  <w:style w:type="paragraph" w:styleId="807">
    <w:name w:val="toc 7"/>
    <w:basedOn w:val="751"/>
    <w:next w:val="751"/>
    <w:uiPriority w:val="39"/>
    <w:unhideWhenUsed/>
    <w:pPr>
      <w:ind w:left="1701" w:firstLine="0"/>
      <w:spacing w:before="0" w:after="57"/>
    </w:pPr>
  </w:style>
  <w:style w:type="paragraph" w:styleId="808">
    <w:name w:val="toc 8"/>
    <w:basedOn w:val="751"/>
    <w:next w:val="751"/>
    <w:uiPriority w:val="39"/>
    <w:unhideWhenUsed/>
    <w:pPr>
      <w:ind w:left="1984" w:firstLine="0"/>
      <w:spacing w:before="0" w:after="57"/>
    </w:pPr>
  </w:style>
  <w:style w:type="paragraph" w:styleId="809">
    <w:name w:val="toc 9"/>
    <w:basedOn w:val="751"/>
    <w:next w:val="751"/>
    <w:uiPriority w:val="39"/>
    <w:unhideWhenUsed/>
    <w:pPr>
      <w:ind w:left="2268" w:firstLine="0"/>
      <w:spacing w:before="0" w:after="57"/>
    </w:pPr>
  </w:style>
  <w:style w:type="paragraph" w:styleId="810">
    <w:name w:val="Index Heading"/>
    <w:basedOn w:val="791"/>
  </w:style>
  <w:style w:type="paragraph" w:styleId="811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0"/>
      <w:szCs w:val="20"/>
      <w:lang w:val="ru-RU" w:eastAsia="ru-RU" w:bidi="ar-SA"/>
    </w:rPr>
  </w:style>
  <w:style w:type="paragraph" w:styleId="812">
    <w:name w:val="table of figures"/>
    <w:basedOn w:val="751"/>
    <w:next w:val="751"/>
    <w:uiPriority w:val="99"/>
    <w:unhideWhenUsed/>
    <w:qFormat/>
  </w:style>
  <w:style w:type="paragraph" w:styleId="813">
    <w:name w:val="Body Text Indent 3"/>
    <w:basedOn w:val="751"/>
    <w:uiPriority w:val="99"/>
    <w:unhideWhenUsed/>
    <w:qFormat/>
    <w:pPr>
      <w:ind w:left="283" w:firstLine="0"/>
      <w:spacing w:before="0" w:after="120"/>
    </w:pPr>
    <w:rPr>
      <w:sz w:val="16"/>
      <w:szCs w:val="16"/>
    </w:rPr>
  </w:style>
  <w:style w:type="paragraph" w:styleId="814">
    <w:name w:val="Колонтитул"/>
    <w:basedOn w:val="751"/>
    <w:qFormat/>
  </w:style>
  <w:style w:type="paragraph" w:styleId="815">
    <w:name w:val="Header"/>
    <w:basedOn w:val="751"/>
    <w:link w:val="781"/>
    <w:uiPriority w:val="99"/>
    <w:unhideWhenUsed/>
    <w:qFormat/>
  </w:style>
  <w:style w:type="paragraph" w:styleId="816">
    <w:name w:val="Footer"/>
    <w:basedOn w:val="751"/>
    <w:link w:val="782"/>
    <w:uiPriority w:val="99"/>
    <w:unhideWhenUsed/>
    <w:qFormat/>
  </w:style>
  <w:style w:type="paragraph" w:styleId="817">
    <w:name w:val="Normal (Web)"/>
    <w:basedOn w:val="751"/>
    <w:qFormat/>
    <w:pPr>
      <w:jc w:val="both"/>
      <w:spacing w:beforeAutospacing="1" w:afterAutospacing="1" w:line="360" w:lineRule="auto"/>
    </w:pPr>
    <w:rPr>
      <w:rFonts w:ascii="Verdana" w:hAnsi="Verdana"/>
      <w:color w:val="000000"/>
      <w:sz w:val="18"/>
      <w:szCs w:val="18"/>
    </w:rPr>
  </w:style>
  <w:style w:type="paragraph" w:styleId="818">
    <w:name w:val="No Spacing"/>
    <w:uiPriority w:val="1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en-US" w:bidi="ar-SA"/>
    </w:rPr>
  </w:style>
  <w:style w:type="paragraph" w:styleId="819" w:customStyle="1">
    <w:name w:val="rezul"/>
    <w:basedOn w:val="751"/>
    <w:qFormat/>
    <w:pPr>
      <w:ind w:firstLine="283"/>
      <w:jc w:val="both"/>
      <w:widowControl w:val="off"/>
    </w:pPr>
    <w:rPr>
      <w:b/>
      <w:szCs w:val="20"/>
      <w:lang w:val="en-US"/>
    </w:rPr>
  </w:style>
  <w:style w:type="paragraph" w:styleId="820" w:customStyle="1">
    <w:name w:val="Заголов1"/>
    <w:basedOn w:val="751"/>
    <w:uiPriority w:val="99"/>
    <w:qFormat/>
    <w:pPr>
      <w:jc w:val="center"/>
      <w:widowControl w:val="off"/>
    </w:pPr>
    <w:rPr>
      <w:rFonts w:ascii="a_Timer" w:hAnsi="a_Timer" w:cs="a_Timer"/>
      <w:lang w:val="en-US"/>
    </w:rPr>
  </w:style>
  <w:style w:type="paragraph" w:styleId="821">
    <w:name w:val="List Paragraph"/>
    <w:basedOn w:val="751"/>
    <w:uiPriority w:val="99"/>
    <w:qFormat/>
    <w:pPr>
      <w:contextualSpacing/>
      <w:ind w:left="720" w:firstLine="0"/>
      <w:spacing w:before="0" w:after="0"/>
    </w:pPr>
  </w:style>
  <w:style w:type="paragraph" w:styleId="822">
    <w:name w:val="footnote text"/>
    <w:basedOn w:val="751"/>
    <w:link w:val="789"/>
    <w:rPr>
      <w:sz w:val="20"/>
      <w:szCs w:val="20"/>
      <w:lang w:eastAsia="zh-CN"/>
    </w:rPr>
  </w:style>
  <w:style w:type="paragraph" w:styleId="823">
    <w:name w:val="Balloon Text"/>
    <w:basedOn w:val="751"/>
    <w:link w:val="790"/>
    <w:uiPriority w:val="99"/>
    <w:semiHidden/>
    <w:unhideWhenUsed/>
    <w:qFormat/>
    <w:rPr>
      <w:rFonts w:ascii="Segoe UI" w:hAnsi="Segoe UI" w:cs="Segoe UI"/>
      <w:sz w:val="18"/>
      <w:szCs w:val="18"/>
    </w:rPr>
  </w:style>
  <w:style w:type="numbering" w:styleId="824" w:default="1">
    <w:name w:val="No List"/>
    <w:uiPriority w:val="99"/>
    <w:semiHidden/>
    <w:unhideWhenUsed/>
    <w:qFormat/>
  </w:style>
  <w:style w:type="table" w:styleId="825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26" w:customStyle="1">
    <w:name w:val="Table Grid Light"/>
    <w:basedOn w:val="8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7">
    <w:name w:val="Plain Table 1"/>
    <w:basedOn w:val="8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28">
    <w:name w:val="Plain Table 2"/>
    <w:basedOn w:val="82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29">
    <w:name w:val="Plain Table 3"/>
    <w:basedOn w:val="82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0">
    <w:name w:val="Plain Table 4"/>
    <w:basedOn w:val="82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Plain Table 5"/>
    <w:basedOn w:val="82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2">
    <w:name w:val="Grid Table 1 Light"/>
    <w:basedOn w:val="82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1"/>
    <w:basedOn w:val="82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2"/>
    <w:basedOn w:val="82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3"/>
    <w:basedOn w:val="82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4"/>
    <w:basedOn w:val="82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5"/>
    <w:basedOn w:val="82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6"/>
    <w:basedOn w:val="82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2"/>
    <w:basedOn w:val="8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1"/>
    <w:basedOn w:val="82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2"/>
    <w:basedOn w:val="82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3"/>
    <w:basedOn w:val="82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4"/>
    <w:basedOn w:val="82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5"/>
    <w:basedOn w:val="82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6"/>
    <w:basedOn w:val="82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"/>
    <w:basedOn w:val="8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1"/>
    <w:basedOn w:val="82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2"/>
    <w:basedOn w:val="82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3"/>
    <w:basedOn w:val="82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4"/>
    <w:basedOn w:val="82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5"/>
    <w:basedOn w:val="82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6"/>
    <w:basedOn w:val="82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4"/>
    <w:basedOn w:val="82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4" w:customStyle="1">
    <w:name w:val="Grid Table 4 - Accent 1"/>
    <w:basedOn w:val="82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855" w:customStyle="1">
    <w:name w:val="Grid Table 4 - Accent 2"/>
    <w:basedOn w:val="82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856" w:customStyle="1">
    <w:name w:val="Grid Table 4 - Accent 3"/>
    <w:basedOn w:val="82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857" w:customStyle="1">
    <w:name w:val="Grid Table 4 - Accent 4"/>
    <w:basedOn w:val="82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858" w:customStyle="1">
    <w:name w:val="Grid Table 4 - Accent 5"/>
    <w:basedOn w:val="82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9" w:customStyle="1">
    <w:name w:val="Grid Table 4 - Accent 6"/>
    <w:basedOn w:val="82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0">
    <w:name w:val="Grid Table 5 Dark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- Accent 1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 - Accent 2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 - Accent 3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- Accent 4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 - Accent 5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6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67">
    <w:name w:val="Grid Table 6 Colorful"/>
    <w:basedOn w:val="82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8" w:customStyle="1">
    <w:name w:val="Grid Table 6 Colorful - Accent 1"/>
    <w:basedOn w:val="82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9" w:customStyle="1">
    <w:name w:val="Grid Table 6 Colorful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0" w:customStyle="1">
    <w:name w:val="Grid Table 6 Colorful - Accent 3"/>
    <w:basedOn w:val="82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1" w:customStyle="1">
    <w:name w:val="Grid Table 6 Colorful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2" w:customStyle="1">
    <w:name w:val="Grid Table 6 Colorful - Accent 5"/>
    <w:basedOn w:val="82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3" w:customStyle="1">
    <w:name w:val="Grid Table 6 Colorful - Accent 6"/>
    <w:basedOn w:val="82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4">
    <w:name w:val="Grid Table 7 Colorful"/>
    <w:basedOn w:val="82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Grid Table 7 Colorful - Accent 1"/>
    <w:basedOn w:val="82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sz="4" w:space="0"/>
          <w:right w:val="none" w:color="000000" w:sz="0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Grid Table 7 Colorful - Accent 2"/>
    <w:basedOn w:val="82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Grid Table 7 Colorful - Accent 3"/>
    <w:basedOn w:val="82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sz="4" w:space="0"/>
          <w:right w:val="none" w:color="000000" w:sz="0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Grid Table 7 Colorful - Accent 4"/>
    <w:basedOn w:val="82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Grid Table 7 Colorful - Accent 5"/>
    <w:basedOn w:val="82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sz="4" w:space="0"/>
          <w:right w:val="none" w:color="000000" w:sz="0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Grid Table 7 Colorful - Accent 6"/>
    <w:basedOn w:val="82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sz="4" w:space="0"/>
          <w:right w:val="none" w:color="000000" w:sz="0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>
    <w:name w:val="List Table 1 Light"/>
    <w:basedOn w:val="825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1"/>
    <w:basedOn w:val="825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2"/>
    <w:basedOn w:val="825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3"/>
    <w:basedOn w:val="825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4"/>
    <w:basedOn w:val="825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5"/>
    <w:basedOn w:val="825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6"/>
    <w:basedOn w:val="825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2"/>
    <w:basedOn w:val="82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89" w:customStyle="1">
    <w:name w:val="List Table 2 - Accent 1"/>
    <w:basedOn w:val="82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90" w:customStyle="1">
    <w:name w:val="List Table 2 - Accent 2"/>
    <w:basedOn w:val="82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91" w:customStyle="1">
    <w:name w:val="List Table 2 - Accent 3"/>
    <w:basedOn w:val="82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92" w:customStyle="1">
    <w:name w:val="List Table 2 - Accent 4"/>
    <w:basedOn w:val="82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93" w:customStyle="1">
    <w:name w:val="List Table 2 - Accent 5"/>
    <w:basedOn w:val="82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94" w:customStyle="1">
    <w:name w:val="List Table 2 - Accent 6"/>
    <w:basedOn w:val="82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95">
    <w:name w:val="List Table 3"/>
    <w:basedOn w:val="8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1"/>
    <w:basedOn w:val="82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3"/>
    <w:basedOn w:val="82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5"/>
    <w:basedOn w:val="82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6"/>
    <w:basedOn w:val="82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"/>
    <w:basedOn w:val="8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1"/>
    <w:basedOn w:val="82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2"/>
    <w:basedOn w:val="82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3"/>
    <w:basedOn w:val="82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4"/>
    <w:basedOn w:val="82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5"/>
    <w:basedOn w:val="82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6"/>
    <w:basedOn w:val="82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5 Dark"/>
    <w:basedOn w:val="82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0" w:customStyle="1">
    <w:name w:val="List Table 5 Dark - Accent 1"/>
    <w:basedOn w:val="82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1" w:customStyle="1">
    <w:name w:val="List Table 5 Dark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2" w:customStyle="1">
    <w:name w:val="List Table 5 Dark - Accent 3"/>
    <w:basedOn w:val="82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3" w:customStyle="1">
    <w:name w:val="List Table 5 Dark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4" w:customStyle="1">
    <w:name w:val="List Table 5 Dark - Accent 5"/>
    <w:basedOn w:val="82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5" w:customStyle="1">
    <w:name w:val="List Table 5 Dark - Accent 6"/>
    <w:basedOn w:val="82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6">
    <w:name w:val="List Table 6 Colorful"/>
    <w:basedOn w:val="82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917" w:customStyle="1">
    <w:name w:val="List Table 6 Colorful - Accent 1"/>
    <w:basedOn w:val="82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8" w:customStyle="1">
    <w:name w:val="List Table 6 Colorful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919" w:customStyle="1">
    <w:name w:val="List Table 6 Colorful - Accent 3"/>
    <w:basedOn w:val="82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920" w:customStyle="1">
    <w:name w:val="List Table 6 Colorful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921" w:customStyle="1">
    <w:name w:val="List Table 6 Colorful - Accent 5"/>
    <w:basedOn w:val="82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922" w:customStyle="1">
    <w:name w:val="List Table 6 Colorful - Accent 6"/>
    <w:basedOn w:val="82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923">
    <w:name w:val="List Table 7 Colorful"/>
    <w:basedOn w:val="82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4" w:customStyle="1">
    <w:name w:val="List Table 7 Colorful - Accent 1"/>
    <w:basedOn w:val="82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5" w:customStyle="1">
    <w:name w:val="List Table 7 Colorful - Accent 2"/>
    <w:basedOn w:val="82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6" w:customStyle="1">
    <w:name w:val="List Table 7 Colorful - Accent 3"/>
    <w:basedOn w:val="82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sz="4" w:space="0"/>
          <w:right w:val="none" w:color="000000" w:sz="0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7" w:customStyle="1">
    <w:name w:val="List Table 7 Colorful - Accent 4"/>
    <w:basedOn w:val="82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8" w:customStyle="1">
    <w:name w:val="List Table 7 Colorful - Accent 5"/>
    <w:basedOn w:val="82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sz="4" w:space="0"/>
          <w:right w:val="none" w:color="000000" w:sz="0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9" w:customStyle="1">
    <w:name w:val="List Table 7 Colorful - Accent 6"/>
    <w:basedOn w:val="82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sz="4" w:space="0"/>
          <w:right w:val="none" w:color="000000" w:sz="0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0" w:customStyle="1">
    <w:name w:val="Lined - Accent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31" w:customStyle="1">
    <w:name w:val="Lined - Accent 1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32" w:customStyle="1">
    <w:name w:val="Lined - Accent 2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33" w:customStyle="1">
    <w:name w:val="Lined - Accent 3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34" w:customStyle="1">
    <w:name w:val="Lined - Accent 4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35" w:customStyle="1">
    <w:name w:val="Lined - Accent 5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36" w:customStyle="1">
    <w:name w:val="Lined - Accent 6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37" w:customStyle="1">
    <w:name w:val="Bordered &amp; Lined - Accent"/>
    <w:basedOn w:val="82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38" w:customStyle="1">
    <w:name w:val="Bordered &amp; Lined - Accent 1"/>
    <w:basedOn w:val="82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39" w:customStyle="1">
    <w:name w:val="Bordered &amp; Lined - Accent 2"/>
    <w:basedOn w:val="82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40" w:customStyle="1">
    <w:name w:val="Bordered &amp; Lined - Accent 3"/>
    <w:basedOn w:val="82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41" w:customStyle="1">
    <w:name w:val="Bordered &amp; Lined - Accent 4"/>
    <w:basedOn w:val="825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42" w:customStyle="1">
    <w:name w:val="Bordered &amp; Lined - Accent 5"/>
    <w:basedOn w:val="82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43" w:customStyle="1">
    <w:name w:val="Bordered &amp; Lined - Accent 6"/>
    <w:basedOn w:val="82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44" w:customStyle="1">
    <w:name w:val="Bordered"/>
    <w:basedOn w:val="82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45" w:customStyle="1">
    <w:name w:val="Bordered - Accent 1"/>
    <w:basedOn w:val="82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6" w:customStyle="1">
    <w:name w:val="Bordered - Accent 2"/>
    <w:basedOn w:val="82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947" w:customStyle="1">
    <w:name w:val="Bordered - Accent 3"/>
    <w:basedOn w:val="82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948" w:customStyle="1">
    <w:name w:val="Bordered - Accent 4"/>
    <w:basedOn w:val="82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949" w:customStyle="1">
    <w:name w:val="Bordered - Accent 5"/>
    <w:basedOn w:val="82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950" w:customStyle="1">
    <w:name w:val="Bordered - Accent 6"/>
    <w:basedOn w:val="82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  <w:style w:type="table" w:styleId="951">
    <w:name w:val="Table Grid"/>
    <w:basedOn w:val="825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rts-tender.ru/" TargetMode="External"/><Relationship Id="rId10" Type="http://schemas.openxmlformats.org/officeDocument/2006/relationships/hyperlink" Target="http://www.rts-tender.ru/" TargetMode="External"/><Relationship Id="rId11" Type="http://schemas.openxmlformats.org/officeDocument/2006/relationships/hyperlink" Target="https://www.rts-tender.ru/" TargetMode="External"/><Relationship Id="rId12" Type="http://schemas.openxmlformats.org/officeDocument/2006/relationships/hyperlink" Target="http://www.rts-tender.ru/" TargetMode="External"/><Relationship Id="rId13" Type="http://schemas.openxmlformats.org/officeDocument/2006/relationships/hyperlink" Target="https://www.rts-tende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Grizli777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dc:language>ru-RU</dc:language>
  <cp:revision>51</cp:revision>
  <dcterms:created xsi:type="dcterms:W3CDTF">2023-10-31T06:24:00Z</dcterms:created>
  <dcterms:modified xsi:type="dcterms:W3CDTF">2025-02-05T08:51:44Z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A6359D14764B43E9BA567EF3ABEF27A6</vt:lpwstr>
  </property>
  <property fmtid="{D5CDD505-2E9C-101B-9397-08002B2CF9AE}" pid="3" name="KSOProductBuildVer">
    <vt:lpwstr>1049-11.2.0.11516</vt:lpwstr>
  </property>
</Properties>
</file>