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pStyle w:val="733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ИЗВЕЩЕНИЕ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Liberation Serif" w:hAnsi="Liberation Serif"/>
          <w:b/>
          <w:i/>
          <w:sz w:val="20"/>
          <w:szCs w:val="20"/>
        </w:rPr>
      </w:pP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0"/>
          <w:szCs w:val="20"/>
        </w:rPr>
        <w:t xml:space="preserve">20 мая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аукциона по продаже земельного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  <w:t xml:space="preserve">Участниками аукциона являются граждане.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Основание проведения аукциона – постановление Администрации города Костромы от </w:t>
      </w:r>
      <w:r>
        <w:rPr>
          <w:rFonts w:ascii="Times New Roman" w:hAnsi="Times New Roman"/>
          <w:sz w:val="20"/>
          <w:szCs w:val="20"/>
        </w:rPr>
        <w:t xml:space="preserve">21 марта 2025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502 «</w:t>
      </w:r>
      <w:r>
        <w:rPr>
          <w:rFonts w:ascii="Times New Roman" w:hAnsi="Times New Roman"/>
          <w:color w:val="000000"/>
          <w:sz w:val="20"/>
          <w:szCs w:val="20"/>
        </w:rPr>
        <w:t xml:space="preserve">О проведении аукциона по продаже земельного участка, государственная собственность на который не разграничена, расположенного по адресу: </w:t>
      </w:r>
      <w:r>
        <w:rPr>
          <w:rFonts w:ascii="Times New Roman" w:hAnsi="Times New Roman"/>
          <w:color w:val="00000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деревня Марицино, земельный участок 9</w:t>
      </w:r>
      <w:r>
        <w:rPr>
          <w:rFonts w:ascii="Times New Roman" w:hAnsi="Times New Roman"/>
          <w:color w:val="000000"/>
          <w:sz w:val="20"/>
          <w:szCs w:val="20"/>
        </w:rPr>
        <w:t xml:space="preserve">»; </w:t>
      </w:r>
      <w:r>
        <w:rPr>
          <w:rFonts w:ascii="Times New Roman" w:hAnsi="Times New Roman"/>
          <w:sz w:val="20"/>
          <w:szCs w:val="20"/>
        </w:rPr>
        <w:t xml:space="preserve">постановление Администрации города Костромы от </w:t>
      </w:r>
      <w:r>
        <w:rPr>
          <w:rFonts w:ascii="Times New Roman" w:hAnsi="Times New Roman"/>
          <w:sz w:val="20"/>
          <w:szCs w:val="20"/>
        </w:rPr>
        <w:t xml:space="preserve">19 ноября 2024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2123 «</w:t>
      </w:r>
      <w:r>
        <w:rPr>
          <w:rFonts w:ascii="Times New Roman" w:hAnsi="Times New Roman"/>
          <w:color w:val="000000"/>
          <w:sz w:val="20"/>
          <w:szCs w:val="20"/>
        </w:rPr>
        <w:t xml:space="preserve">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деревня Марицино, земельный участок 1в</w:t>
      </w:r>
      <w:r>
        <w:rPr>
          <w:rFonts w:ascii="Times New Roman" w:hAnsi="Times New Roman"/>
          <w:color w:val="000000"/>
          <w:sz w:val="20"/>
          <w:szCs w:val="20"/>
        </w:rPr>
        <w:t xml:space="preserve">»</w:t>
      </w:r>
      <w:r>
        <w:rPr>
          <w:rFonts w:ascii="Times New Roman" w:hAnsi="Times New Roman"/>
          <w:color w:val="000000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  <w:t xml:space="preserve"> постановление Администрации города Костромы от </w:t>
      </w:r>
      <w:r>
        <w:rPr>
          <w:rFonts w:ascii="Times New Roman" w:hAnsi="Times New Roman"/>
          <w:sz w:val="20"/>
          <w:szCs w:val="20"/>
        </w:rPr>
        <w:t xml:space="preserve">19 ноября 2024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2122 «</w:t>
      </w:r>
      <w:r>
        <w:rPr>
          <w:rFonts w:ascii="Times New Roman" w:hAnsi="Times New Roman"/>
          <w:color w:val="000000"/>
          <w:sz w:val="20"/>
          <w:szCs w:val="20"/>
        </w:rPr>
        <w:t xml:space="preserve">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Аркадия Жолниренко, 55</w:t>
      </w:r>
      <w:r>
        <w:rPr>
          <w:rFonts w:ascii="Times New Roman" w:hAnsi="Times New Roman"/>
          <w:color w:val="000000"/>
          <w:sz w:val="20"/>
          <w:szCs w:val="20"/>
        </w:rPr>
        <w:t xml:space="preserve">»</w:t>
      </w:r>
      <w:r>
        <w:rPr>
          <w:rFonts w:ascii="Times New Roman" w:hAnsi="Times New Roman"/>
          <w:color w:val="000000"/>
          <w:sz w:val="20"/>
          <w:szCs w:val="20"/>
        </w:rPr>
        <w:t xml:space="preserve"> 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деревня Марицино, земельный участок 9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1100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44:27:050403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142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о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  <w:t xml:space="preserve">хранная зона объекта: «Распределительный газопровод в г.Кострома д.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Марицино»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(зона с особыми условиями использования территории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реестровый номер границы: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44:27-6.2149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;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24.</w:t>
      </w:r>
      <w:r>
        <w:rPr>
          <w:rFonts w:ascii="Times New Roman" w:hAnsi="Times New Roman"/>
          <w:sz w:val="20"/>
          <w:szCs w:val="20"/>
          <w:highlight w:val="white"/>
        </w:rPr>
        <w:t xml:space="preserve">01.2025</w:t>
        <w:br/>
        <w:t xml:space="preserve">№ исх.02.11/318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24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01.2025 № исх.02.11/319д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17.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ИС-15/</w:t>
      </w:r>
      <w:r>
        <w:rPr>
          <w:rFonts w:ascii="Times New Roman" w:hAnsi="Times New Roman"/>
          <w:sz w:val="20"/>
          <w:szCs w:val="20"/>
          <w:highlight w:val="white"/>
        </w:rPr>
        <w:t xml:space="preserve">7232,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</w:t>
      </w:r>
      <w:r>
        <w:rPr>
          <w:rFonts w:ascii="Times New Roman" w:hAnsi="Times New Roman"/>
          <w:sz w:val="20"/>
          <w:szCs w:val="20"/>
          <w:highlight w:val="white"/>
        </w:rPr>
        <w:t xml:space="preserve">17.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</w:t>
      </w:r>
      <w:r>
        <w:rPr>
          <w:rFonts w:ascii="Times New Roman" w:hAnsi="Times New Roman"/>
          <w:sz w:val="20"/>
          <w:szCs w:val="20"/>
          <w:highlight w:val="white"/>
        </w:rPr>
        <w:t xml:space="preserve">4201/1744-2024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20.12.2024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1/05836;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1 559 000</w:t>
      </w:r>
      <w:r>
        <w:rPr>
          <w:rFonts w:ascii="Times New Roman" w:hAnsi="Times New Roman"/>
          <w:sz w:val="20"/>
          <w:szCs w:val="20"/>
          <w:highlight w:val="white"/>
        </w:rPr>
        <w:t xml:space="preserve"> (Один миллион пятьсот пятьдесят девять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46 750</w:t>
      </w:r>
      <w:r>
        <w:rPr>
          <w:rFonts w:ascii="Times New Roman" w:hAnsi="Times New Roman"/>
          <w:sz w:val="20"/>
          <w:szCs w:val="20"/>
          <w:highlight w:val="white"/>
        </w:rPr>
        <w:t xml:space="preserve"> (Сорок шесть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 семьсот пятьдесят)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389 750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(Триста восемьдесят девять тысяч семьсот пятьдесят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- 12.09.2024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деревня Марицино, земельный участок 1в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584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44:27:050403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141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охранная зона Р-н ВЛ 0,4кВ ТП196 1200м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(зона с особыми условиями использования территории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реестровый номер границы: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44:00-6.840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cs="Times New Roman"/>
          <w:color w:val="00000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14:ligatures w14:val="none"/>
        </w:rPr>
      </w:pPr>
      <w:r>
        <w:rPr>
          <w:rFonts w:ascii="Times New Roman" w:hAnsi="Times New Roman" w:cs="Times New Roman"/>
          <w:color w:val="00000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05.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</w:t>
        <w:br/>
        <w:t xml:space="preserve">№ исх.02.11/8709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06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исх.02.11/8779д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28.</w:t>
      </w:r>
      <w:r>
        <w:rPr>
          <w:rFonts w:ascii="Times New Roman" w:hAnsi="Times New Roman"/>
          <w:sz w:val="20"/>
          <w:szCs w:val="20"/>
          <w:highlight w:val="white"/>
        </w:rPr>
        <w:t xml:space="preserve">01.2025 № ИС-15/</w:t>
      </w:r>
      <w:r>
        <w:rPr>
          <w:rFonts w:ascii="Times New Roman" w:hAnsi="Times New Roman"/>
          <w:sz w:val="20"/>
          <w:szCs w:val="20"/>
          <w:highlight w:val="white"/>
        </w:rPr>
        <w:t xml:space="preserve">352,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</w:t>
      </w:r>
      <w:r>
        <w:rPr>
          <w:rFonts w:ascii="Times New Roman" w:hAnsi="Times New Roman"/>
          <w:sz w:val="20"/>
          <w:szCs w:val="20"/>
          <w:highlight w:val="white"/>
        </w:rPr>
        <w:t xml:space="preserve">11.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</w:t>
      </w:r>
      <w:r>
        <w:rPr>
          <w:rFonts w:ascii="Times New Roman" w:hAnsi="Times New Roman"/>
          <w:sz w:val="20"/>
          <w:szCs w:val="20"/>
          <w:highlight w:val="white"/>
        </w:rPr>
        <w:t xml:space="preserve">4201/1718-2024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18.12.2024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1/05756;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1 121 000</w:t>
      </w:r>
      <w:r>
        <w:rPr>
          <w:rFonts w:ascii="Times New Roman" w:hAnsi="Times New Roman"/>
          <w:sz w:val="20"/>
          <w:szCs w:val="20"/>
          <w:highlight w:val="white"/>
        </w:rPr>
        <w:t xml:space="preserve"> (Один миллион сто двадцать одна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тысяча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33 600</w:t>
      </w:r>
      <w:r>
        <w:rPr>
          <w:rFonts w:ascii="Times New Roman" w:hAnsi="Times New Roman"/>
          <w:sz w:val="20"/>
          <w:szCs w:val="20"/>
          <w:highlight w:val="white"/>
        </w:rPr>
        <w:t xml:space="preserve"> (Тридцать три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тысячи шестьсот)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280 250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(Двести восемьдесят тысяч двести пятьдесят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- 31.10.2024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3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улица Аркадия Жолниренко, 55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624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44:27:020118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204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зона умеренного подтопления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при глубине залегания грунтовых вод от 0,3-0,7 до 1,2-2 метров на территории гор. округа г. Костромы и территории</w:t>
      </w:r>
      <w: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населенных пунктов Костромского муниципального района в соответствии с ген.планом с учетом перспективной застройки,</w:t>
      </w:r>
      <w: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р.Кострома-Нижняя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(зона с особыми условиями использования территории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реестровый номер границы: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44:00-6.537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зона слабого подтопления при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глубине залегания грунтовых вод от 2 до 3 метров на территории гор. округа г. Костромы и территории населенных пунктов</w:t>
      </w:r>
      <w: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Костромского муниципального района в соответствии с ген.планом с учетом перспективной застройки, р.Кострома-Нижняя</w:t>
      </w:r>
      <w: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(зона с особыми условиями использования территории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реестровый номер границы: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44:00-6.536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 xml:space="preserve">земельный участок расположен в в</w:t>
      </w:r>
      <w:r>
        <w:rPr>
          <w:rFonts w:ascii="Times New Roman" w:hAnsi="Times New Roman" w:cs="Times New Roman"/>
          <w:sz w:val="20"/>
          <w:szCs w:val="20"/>
        </w:rPr>
        <w:t xml:space="preserve">одоохранной зоне реки Костромы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расположен в границах территории в районе поселка Волжский, ограниченной набережной реки Кострома, границей существующей жилой застройки в поселке Волжск</w:t>
      </w:r>
      <w:r>
        <w:rPr>
          <w:rFonts w:ascii="Times New Roman" w:hAnsi="Times New Roman" w:cs="Times New Roman"/>
          <w:sz w:val="20"/>
          <w:szCs w:val="20"/>
        </w:rPr>
        <w:t xml:space="preserve">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постановлением Администрации города Костромы от 17 сентября 2014 года № 2</w:t>
      </w:r>
      <w:r>
        <w:rPr>
          <w:rFonts w:ascii="Times New Roman" w:hAnsi="Times New Roman" w:cs="Times New Roman"/>
          <w:sz w:val="20"/>
          <w:szCs w:val="20"/>
        </w:rPr>
        <w:t xml:space="preserve">475 утвержден проект планировки;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С учетом статьи 67.1 </w:t>
      </w:r>
      <w:r>
        <w:rPr>
          <w:rFonts w:ascii="Times New Roman" w:hAnsi="Times New Roman" w:cs="Times New Roman"/>
          <w:sz w:val="20"/>
          <w:szCs w:val="20"/>
        </w:rPr>
        <w:t xml:space="preserve">Водного кодекса Российской Федерации в границах зон </w:t>
      </w:r>
      <w:r>
        <w:rPr>
          <w:rFonts w:ascii="Times New Roman" w:hAnsi="Times New Roman" w:cs="Times New Roman"/>
          <w:sz w:val="20"/>
          <w:szCs w:val="20"/>
        </w:rPr>
        <w:t xml:space="preserve">затопления, подтопления допускается строительство объектов капитального строительства при условии обеспечения таких объектов сооружениями и (или) методами инженерной защиты территорий и объектов от негативного воздействия вод.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05.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</w:t>
        <w:br/>
        <w:t xml:space="preserve">№ исх.02.11/8718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06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исх.02.11/8780д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28.</w:t>
      </w:r>
      <w:r>
        <w:rPr>
          <w:rFonts w:ascii="Times New Roman" w:hAnsi="Times New Roman"/>
          <w:sz w:val="20"/>
          <w:szCs w:val="20"/>
          <w:highlight w:val="white"/>
        </w:rPr>
        <w:t xml:space="preserve">01.2025 № ИС-15/</w:t>
      </w:r>
      <w:r>
        <w:rPr>
          <w:rFonts w:ascii="Times New Roman" w:hAnsi="Times New Roman"/>
          <w:sz w:val="20"/>
          <w:szCs w:val="20"/>
          <w:highlight w:val="white"/>
        </w:rPr>
        <w:t xml:space="preserve">356,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</w:t>
      </w:r>
      <w:r>
        <w:rPr>
          <w:rFonts w:ascii="Times New Roman" w:hAnsi="Times New Roman"/>
          <w:sz w:val="20"/>
          <w:szCs w:val="20"/>
          <w:highlight w:val="white"/>
        </w:rPr>
        <w:t xml:space="preserve">11.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</w:t>
      </w:r>
      <w:r>
        <w:rPr>
          <w:rFonts w:ascii="Times New Roman" w:hAnsi="Times New Roman"/>
          <w:sz w:val="20"/>
          <w:szCs w:val="20"/>
          <w:highlight w:val="white"/>
        </w:rPr>
        <w:t xml:space="preserve">4201/1718-2024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13.12.2024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1/05671;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2 982 000</w:t>
      </w:r>
      <w:r>
        <w:rPr>
          <w:rFonts w:ascii="Times New Roman" w:hAnsi="Times New Roman"/>
          <w:sz w:val="20"/>
          <w:szCs w:val="20"/>
          <w:highlight w:val="white"/>
        </w:rPr>
        <w:t xml:space="preserve"> (Два миллиона девятьсот восемьдесят две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тысячи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89 450</w:t>
      </w:r>
      <w:r>
        <w:rPr>
          <w:rFonts w:ascii="Times New Roman" w:hAnsi="Times New Roman"/>
          <w:sz w:val="20"/>
          <w:szCs w:val="20"/>
          <w:highlight w:val="white"/>
        </w:rPr>
        <w:t xml:space="preserve"> (Восемьдесят девять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 пятьдесят)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745 500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(Семьсот сорок пять тысяч пятьсот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- 31.10.2024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</w:t>
      </w:r>
      <w:r>
        <w:rPr>
          <w:rFonts w:ascii="Times New Roman" w:hAnsi="Times New Roman"/>
          <w:sz w:val="20"/>
          <w:szCs w:val="20"/>
          <w:highlight w:val="white"/>
        </w:rPr>
        <w:t xml:space="preserve">е – организатор).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61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21 апреля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16 мая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www.rts-tender.ru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19 мая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Кодексом порядке договора купли-продажи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купли-продажи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61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19 мая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20 мая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купли - 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купли - продажи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купли - продажи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купли – продажи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купли - продажи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купли - 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купли – продажи </w:t>
      </w:r>
      <w:r>
        <w:rPr>
          <w:rFonts w:ascii="Times New Roman" w:hAnsi="Times New Roman"/>
          <w:sz w:val="20"/>
          <w:szCs w:val="20"/>
          <w:lang w:eastAsia="en-US"/>
        </w:rPr>
        <w:t xml:space="preserve">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купли - продажи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купли - продажи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15.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Земельные участки с кадастровыми номерами 44:27:050403:141,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44:27:050403:142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3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выдан:_________________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3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 № 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купли-продажи земельного участка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город Кострома                                                                               ______________ года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адресу:_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Земельный участок обременен _________________________________.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Цена договора и порядок оплаты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назначение платежа: за земельный участок по договору купли-продажи от ___________  № ____.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рублей зачисляется в счет платежа по настоящему договору за земельный участок.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 Обяз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Права и обязанности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Покупатель обязан: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и/или неполное их перечисление, Покупатель уплачивает Продавцу неустойку в виде пени за каждый день просрочки в размере 1/150 ставки рефинансирования Центрального Банка Российской Федерации, действующей на дату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выполнения денежного обязательства.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Пени начи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сляются со дня образования задолженности и перечисляются на следующие реквизиты: </w:t>
      </w:r>
      <w:r>
        <w:rPr>
          <w:rFonts w:ascii="Times New Roman" w:hAnsi="Times New Roman" w:cs="Times New Roman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</w:t>
      </w:r>
      <w:r>
        <w:rPr>
          <w:rFonts w:ascii="Times New Roman" w:hAnsi="Times New Roman" w:cs="Times New Roman"/>
          <w:sz w:val="20"/>
          <w:szCs w:val="20"/>
        </w:rPr>
        <w:t xml:space="preserve">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Уплата неустойки не освобождает Покупателя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Возникновение права собственности и действие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Настоящий договор признается заключенным с момента его подписания Сторонами.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Расторжение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Заключительные положения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40"/>
        <w:jc w:val="both"/>
        <w:spacing w:before="0" w:after="0" w:line="288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7.6. </w:t>
      </w:r>
      <w:r>
        <w:rPr>
          <w:rFonts w:ascii="Times New Roman" w:hAnsi="Times New Roman" w:cs="Times New Roman"/>
          <w:sz w:val="20"/>
          <w:szCs w:val="20"/>
        </w:rPr>
        <w:t xml:space="preserve">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8. Юридические адреса и реквизиты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Подписи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655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567" w:right="709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78"/>
    <w:uiPriority w:val="10"/>
    <w:rPr>
      <w:sz w:val="48"/>
      <w:szCs w:val="48"/>
    </w:rPr>
  </w:style>
  <w:style w:type="character" w:styleId="728">
    <w:name w:val="Subtitle Char"/>
    <w:basedOn w:val="743"/>
    <w:link w:val="779"/>
    <w:uiPriority w:val="11"/>
    <w:rPr>
      <w:sz w:val="24"/>
      <w:szCs w:val="24"/>
    </w:rPr>
  </w:style>
  <w:style w:type="character" w:styleId="729">
    <w:name w:val="Quote Char"/>
    <w:link w:val="780"/>
    <w:uiPriority w:val="29"/>
    <w:rPr>
      <w:i/>
    </w:rPr>
  </w:style>
  <w:style w:type="character" w:styleId="730">
    <w:name w:val="Intense Quote Char"/>
    <w:link w:val="781"/>
    <w:uiPriority w:val="30"/>
    <w:rPr>
      <w:i/>
    </w:rPr>
  </w:style>
  <w:style w:type="character" w:styleId="731">
    <w:name w:val="Endnote Text Char"/>
    <w:link w:val="783"/>
    <w:uiPriority w:val="99"/>
    <w:rPr>
      <w:sz w:val="20"/>
    </w:rPr>
  </w:style>
  <w:style w:type="paragraph" w:styleId="73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3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4">
    <w:name w:val="Heading 1"/>
    <w:basedOn w:val="733"/>
    <w:next w:val="733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9">
    <w:name w:val="Heading 6"/>
    <w:basedOn w:val="733"/>
    <w:next w:val="73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  <w:qFormat/>
  </w:style>
  <w:style w:type="character" w:styleId="744" w:customStyle="1">
    <w:name w:val="Заголовок 2 Знак"/>
    <w:basedOn w:val="743"/>
    <w:uiPriority w:val="9"/>
    <w:qFormat/>
    <w:rPr>
      <w:rFonts w:ascii="Arial" w:hAnsi="Arial" w:eastAsia="Arial" w:cs="Arial"/>
      <w:sz w:val="34"/>
    </w:rPr>
  </w:style>
  <w:style w:type="character" w:styleId="745" w:customStyle="1">
    <w:name w:val="Заголовок 6 Знак"/>
    <w:basedOn w:val="7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Заголовок Знак"/>
    <w:basedOn w:val="743"/>
    <w:uiPriority w:val="10"/>
    <w:qFormat/>
    <w:rPr>
      <w:sz w:val="48"/>
      <w:szCs w:val="48"/>
    </w:rPr>
  </w:style>
  <w:style w:type="character" w:styleId="750" w:customStyle="1">
    <w:name w:val="Подзаголовок Знак"/>
    <w:basedOn w:val="743"/>
    <w:uiPriority w:val="11"/>
    <w:qFormat/>
    <w:rPr>
      <w:sz w:val="24"/>
      <w:szCs w:val="24"/>
    </w:rPr>
  </w:style>
  <w:style w:type="character" w:styleId="751" w:customStyle="1">
    <w:name w:val="Цитата 2 Знак"/>
    <w:link w:val="780"/>
    <w:uiPriority w:val="29"/>
    <w:qFormat/>
    <w:rPr>
      <w:i/>
    </w:rPr>
  </w:style>
  <w:style w:type="character" w:styleId="752" w:customStyle="1">
    <w:name w:val="Выделенная цитата Знак"/>
    <w:link w:val="781"/>
    <w:uiPriority w:val="30"/>
    <w:qFormat/>
    <w:rPr>
      <w:i/>
    </w:rPr>
  </w:style>
  <w:style w:type="character" w:styleId="753" w:customStyle="1">
    <w:name w:val="Header Char"/>
    <w:basedOn w:val="743"/>
    <w:uiPriority w:val="99"/>
    <w:qFormat/>
  </w:style>
  <w:style w:type="character" w:styleId="754" w:customStyle="1">
    <w:name w:val="Footer Char"/>
    <w:basedOn w:val="743"/>
    <w:uiPriority w:val="99"/>
    <w:qFormat/>
  </w:style>
  <w:style w:type="character" w:styleId="755" w:customStyle="1">
    <w:name w:val="Caption Char"/>
    <w:uiPriority w:val="99"/>
    <w:qFormat/>
  </w:style>
  <w:style w:type="character" w:styleId="756" w:customStyle="1">
    <w:name w:val="Footnote Text Char"/>
    <w:uiPriority w:val="99"/>
    <w:qFormat/>
    <w:rPr>
      <w:sz w:val="18"/>
    </w:rPr>
  </w:style>
  <w:style w:type="character" w:styleId="757" w:customStyle="1">
    <w:name w:val="Текст концевой сноски Знак"/>
    <w:uiPriority w:val="99"/>
    <w:qFormat/>
    <w:rPr>
      <w:sz w:val="20"/>
    </w:rPr>
  </w:style>
  <w:style w:type="character" w:styleId="758">
    <w:name w:val="Символ концевой сноски"/>
    <w:basedOn w:val="743"/>
    <w:uiPriority w:val="99"/>
    <w:semiHidden/>
    <w:unhideWhenUsed/>
    <w:qFormat/>
    <w:rPr>
      <w:vertAlign w:val="superscript"/>
    </w:rPr>
  </w:style>
  <w:style w:type="character" w:styleId="759">
    <w:name w:val="endnote reference"/>
    <w:rPr>
      <w:vertAlign w:val="superscript"/>
    </w:rPr>
  </w:style>
  <w:style w:type="character" w:styleId="760">
    <w:name w:val="FollowedHyperlink"/>
    <w:basedOn w:val="743"/>
    <w:uiPriority w:val="99"/>
    <w:unhideWhenUsed/>
    <w:qFormat/>
    <w:rPr>
      <w:color w:val="800080"/>
      <w:u w:val="single"/>
    </w:rPr>
  </w:style>
  <w:style w:type="character" w:styleId="761">
    <w:name w:val="Hyperlink"/>
    <w:basedOn w:val="743"/>
    <w:uiPriority w:val="99"/>
    <w:unhideWhenUsed/>
    <w:qFormat/>
    <w:rPr>
      <w:color w:val="0000ff"/>
      <w:u w:val="single"/>
    </w:rPr>
  </w:style>
  <w:style w:type="character" w:styleId="762">
    <w:name w:val="Strong"/>
    <w:basedOn w:val="743"/>
    <w:qFormat/>
    <w:rPr>
      <w:rFonts w:cs="Times New Roman"/>
      <w:b/>
      <w:bCs/>
    </w:rPr>
  </w:style>
  <w:style w:type="character" w:styleId="763" w:customStyle="1">
    <w:name w:val="Верх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4" w:customStyle="1">
    <w:name w:val="Ниж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5" w:customStyle="1">
    <w:name w:val="10"/>
    <w:basedOn w:val="743"/>
    <w:qFormat/>
    <w:rPr>
      <w:rFonts w:ascii="Times New Roman" w:hAnsi="Times New Roman" w:cs="Times New Roman"/>
    </w:rPr>
  </w:style>
  <w:style w:type="character" w:styleId="766" w:customStyle="1">
    <w:name w:val="15"/>
    <w:basedOn w:val="743"/>
    <w:qFormat/>
    <w:rPr>
      <w:rFonts w:ascii="Times New Roman" w:hAnsi="Times New Roman" w:cs="Times New Roman"/>
      <w:color w:val="0000ff"/>
      <w:u w:val="single"/>
    </w:rPr>
  </w:style>
  <w:style w:type="character" w:styleId="767" w:customStyle="1">
    <w:name w:val="16"/>
    <w:basedOn w:val="743"/>
    <w:qFormat/>
    <w:rPr>
      <w:rFonts w:ascii="Times New Roman" w:hAnsi="Times New Roman" w:cs="Times New Roman"/>
    </w:rPr>
  </w:style>
  <w:style w:type="character" w:styleId="768" w:customStyle="1">
    <w:name w:val="rts-text"/>
    <w:basedOn w:val="743"/>
    <w:qFormat/>
  </w:style>
  <w:style w:type="character" w:styleId="769">
    <w:name w:val="Символ сноски"/>
    <w:qFormat/>
    <w:rPr>
      <w:vertAlign w:val="superscript"/>
    </w:rPr>
  </w:style>
  <w:style w:type="character" w:styleId="770">
    <w:name w:val="footnote reference"/>
    <w:rPr>
      <w:vertAlign w:val="superscript"/>
    </w:rPr>
  </w:style>
  <w:style w:type="character" w:styleId="771" w:customStyle="1">
    <w:name w:val="Текст сноски Знак"/>
    <w:basedOn w:val="743"/>
    <w:qFormat/>
    <w:rPr>
      <w:rFonts w:ascii="Times New Roman" w:hAnsi="Times New Roman" w:eastAsia="Times New Roman" w:cs="Times New Roman"/>
      <w:lang w:eastAsia="zh-CN"/>
    </w:rPr>
  </w:style>
  <w:style w:type="character" w:styleId="772" w:customStyle="1">
    <w:name w:val="Текст выноски Знак"/>
    <w:basedOn w:val="743"/>
    <w:link w:val="80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3">
    <w:name w:val="Заголовок"/>
    <w:basedOn w:val="733"/>
    <w:next w:val="77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4">
    <w:name w:val="Body Text"/>
    <w:basedOn w:val="733"/>
    <w:pPr>
      <w:spacing w:before="0" w:after="140" w:line="276" w:lineRule="auto"/>
    </w:pPr>
  </w:style>
  <w:style w:type="paragraph" w:styleId="775">
    <w:name w:val="List"/>
    <w:basedOn w:val="774"/>
    <w:rPr>
      <w:rFonts w:cs="Mangal"/>
    </w:rPr>
  </w:style>
  <w:style w:type="paragraph" w:styleId="776">
    <w:name w:val="Caption"/>
    <w:basedOn w:val="73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7">
    <w:name w:val="Указатель"/>
    <w:basedOn w:val="733"/>
    <w:qFormat/>
    <w:pPr>
      <w:suppressLineNumbers/>
    </w:pPr>
    <w:rPr>
      <w:rFonts w:cs="Mangal"/>
    </w:rPr>
  </w:style>
  <w:style w:type="paragraph" w:styleId="778">
    <w:name w:val="Title"/>
    <w:basedOn w:val="733"/>
    <w:next w:val="73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9">
    <w:name w:val="Subtitle"/>
    <w:basedOn w:val="733"/>
    <w:next w:val="733"/>
    <w:link w:val="750"/>
    <w:uiPriority w:val="11"/>
    <w:qFormat/>
    <w:pPr>
      <w:spacing w:before="200" w:after="200"/>
    </w:pPr>
  </w:style>
  <w:style w:type="paragraph" w:styleId="780">
    <w:name w:val="Quote"/>
    <w:basedOn w:val="733"/>
    <w:next w:val="733"/>
    <w:link w:val="751"/>
    <w:uiPriority w:val="29"/>
    <w:qFormat/>
    <w:pPr>
      <w:ind w:left="720" w:right="720" w:firstLine="0"/>
    </w:pPr>
    <w:rPr>
      <w:i/>
    </w:rPr>
  </w:style>
  <w:style w:type="paragraph" w:styleId="781">
    <w:name w:val="Intense Quote"/>
    <w:basedOn w:val="733"/>
    <w:next w:val="733"/>
    <w:link w:val="75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2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3">
    <w:name w:val="endnote text"/>
    <w:basedOn w:val="733"/>
    <w:link w:val="757"/>
    <w:uiPriority w:val="99"/>
    <w:semiHidden/>
    <w:unhideWhenUsed/>
    <w:rPr>
      <w:sz w:val="20"/>
    </w:rPr>
  </w:style>
  <w:style w:type="paragraph" w:styleId="784">
    <w:name w:val="toc 1"/>
    <w:basedOn w:val="733"/>
    <w:next w:val="733"/>
    <w:uiPriority w:val="39"/>
    <w:unhideWhenUsed/>
    <w:pPr>
      <w:spacing w:before="0" w:after="57"/>
    </w:pPr>
  </w:style>
  <w:style w:type="paragraph" w:styleId="785">
    <w:name w:val="toc 3"/>
    <w:basedOn w:val="733"/>
    <w:next w:val="733"/>
    <w:uiPriority w:val="39"/>
    <w:unhideWhenUsed/>
    <w:pPr>
      <w:ind w:left="567" w:firstLine="0"/>
      <w:spacing w:before="0" w:after="57"/>
    </w:pPr>
  </w:style>
  <w:style w:type="paragraph" w:styleId="786">
    <w:name w:val="toc 4"/>
    <w:basedOn w:val="733"/>
    <w:next w:val="733"/>
    <w:uiPriority w:val="39"/>
    <w:unhideWhenUsed/>
    <w:pPr>
      <w:ind w:left="850" w:firstLine="0"/>
      <w:spacing w:before="0" w:after="57"/>
    </w:pPr>
  </w:style>
  <w:style w:type="paragraph" w:styleId="787">
    <w:name w:val="toc 5"/>
    <w:basedOn w:val="733"/>
    <w:next w:val="733"/>
    <w:uiPriority w:val="39"/>
    <w:unhideWhenUsed/>
    <w:pPr>
      <w:ind w:left="1134" w:firstLine="0"/>
      <w:spacing w:before="0" w:after="57"/>
    </w:pPr>
  </w:style>
  <w:style w:type="paragraph" w:styleId="788">
    <w:name w:val="toc 6"/>
    <w:basedOn w:val="733"/>
    <w:next w:val="733"/>
    <w:uiPriority w:val="39"/>
    <w:unhideWhenUsed/>
    <w:pPr>
      <w:ind w:left="1417" w:firstLine="0"/>
      <w:spacing w:before="0" w:after="57"/>
    </w:pPr>
  </w:style>
  <w:style w:type="paragraph" w:styleId="789">
    <w:name w:val="toc 7"/>
    <w:basedOn w:val="733"/>
    <w:next w:val="733"/>
    <w:uiPriority w:val="39"/>
    <w:unhideWhenUsed/>
    <w:pPr>
      <w:ind w:left="1701" w:firstLine="0"/>
      <w:spacing w:before="0" w:after="57"/>
    </w:pPr>
  </w:style>
  <w:style w:type="paragraph" w:styleId="790">
    <w:name w:val="toc 8"/>
    <w:basedOn w:val="733"/>
    <w:next w:val="733"/>
    <w:uiPriority w:val="39"/>
    <w:unhideWhenUsed/>
    <w:pPr>
      <w:ind w:left="1984" w:firstLine="0"/>
      <w:spacing w:before="0" w:after="57"/>
    </w:pPr>
  </w:style>
  <w:style w:type="paragraph" w:styleId="791">
    <w:name w:val="toc 9"/>
    <w:basedOn w:val="733"/>
    <w:next w:val="733"/>
    <w:uiPriority w:val="39"/>
    <w:unhideWhenUsed/>
    <w:pPr>
      <w:ind w:left="2268" w:firstLine="0"/>
      <w:spacing w:before="0" w:after="57"/>
    </w:pPr>
  </w:style>
  <w:style w:type="paragraph" w:styleId="792">
    <w:name w:val="Index Heading"/>
    <w:basedOn w:val="773"/>
  </w:style>
  <w:style w:type="paragraph" w:styleId="79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4">
    <w:name w:val="table of figures"/>
    <w:basedOn w:val="733"/>
    <w:next w:val="733"/>
    <w:uiPriority w:val="99"/>
    <w:unhideWhenUsed/>
    <w:qFormat/>
  </w:style>
  <w:style w:type="paragraph" w:styleId="795">
    <w:name w:val="Body Text Indent 3"/>
    <w:basedOn w:val="73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6">
    <w:name w:val="Колонтитул"/>
    <w:basedOn w:val="733"/>
    <w:qFormat/>
  </w:style>
  <w:style w:type="paragraph" w:styleId="797">
    <w:name w:val="Header"/>
    <w:basedOn w:val="733"/>
    <w:link w:val="763"/>
    <w:uiPriority w:val="99"/>
    <w:unhideWhenUsed/>
    <w:qFormat/>
  </w:style>
  <w:style w:type="paragraph" w:styleId="798">
    <w:name w:val="Footer"/>
    <w:basedOn w:val="733"/>
    <w:link w:val="764"/>
    <w:uiPriority w:val="99"/>
    <w:unhideWhenUsed/>
    <w:qFormat/>
  </w:style>
  <w:style w:type="paragraph" w:styleId="799">
    <w:name w:val="Normal (Web)"/>
    <w:basedOn w:val="73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0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01" w:customStyle="1">
    <w:name w:val="rezul"/>
    <w:basedOn w:val="73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2" w:customStyle="1">
    <w:name w:val="Заголов1"/>
    <w:basedOn w:val="73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3">
    <w:name w:val="List Paragraph"/>
    <w:basedOn w:val="733"/>
    <w:uiPriority w:val="99"/>
    <w:qFormat/>
    <w:pPr>
      <w:contextualSpacing/>
      <w:ind w:left="720" w:firstLine="0"/>
      <w:spacing w:before="0" w:after="0"/>
    </w:pPr>
  </w:style>
  <w:style w:type="paragraph" w:styleId="804">
    <w:name w:val="footnote text"/>
    <w:basedOn w:val="733"/>
    <w:link w:val="771"/>
    <w:rPr>
      <w:sz w:val="20"/>
      <w:szCs w:val="20"/>
      <w:lang w:eastAsia="zh-CN"/>
    </w:rPr>
  </w:style>
  <w:style w:type="paragraph" w:styleId="805">
    <w:name w:val="Balloon Text"/>
    <w:basedOn w:val="733"/>
    <w:link w:val="77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6" w:default="1">
    <w:name w:val="No List"/>
    <w:uiPriority w:val="99"/>
    <w:semiHidden/>
    <w:unhideWhenUsed/>
    <w:qFormat/>
  </w:style>
  <w:style w:type="table" w:styleId="80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>
    <w:name w:val="Plain Table 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0">
    <w:name w:val="Plain Table 2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>
    <w:name w:val="Plain Table 3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7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8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9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0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>
    <w:name w:val="List Table 1 Light"/>
    <w:basedOn w:val="80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7">
    <w:name w:val="List Table 3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>
    <w:name w:val="List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9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1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2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3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4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5">
    <w:name w:val="List Table 7 Colorful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ned - Accent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3" w:customStyle="1">
    <w:name w:val="Lined - Accent 1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4" w:customStyle="1">
    <w:name w:val="Lined - Accent 2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5" w:customStyle="1">
    <w:name w:val="Lined - Accent 3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6" w:customStyle="1">
    <w:name w:val="Lined - Accent 4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7" w:customStyle="1">
    <w:name w:val="Lined - Accent 5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8" w:customStyle="1">
    <w:name w:val="Lined - Accent 6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9" w:customStyle="1">
    <w:name w:val="Bordered &amp; Lined - Accent"/>
    <w:basedOn w:val="8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0" w:customStyle="1">
    <w:name w:val="Bordered &amp; Lined - Accent 1"/>
    <w:basedOn w:val="80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1" w:customStyle="1">
    <w:name w:val="Bordered &amp; Lined - Accent 2"/>
    <w:basedOn w:val="80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2" w:customStyle="1">
    <w:name w:val="Bordered &amp; Lined - Accent 3"/>
    <w:basedOn w:val="80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3" w:customStyle="1">
    <w:name w:val="Bordered &amp; Lined - Accent 4"/>
    <w:basedOn w:val="80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4" w:customStyle="1">
    <w:name w:val="Bordered &amp; Lined - Accent 5"/>
    <w:basedOn w:val="80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5" w:customStyle="1">
    <w:name w:val="Bordered &amp; Lined - Accent 6"/>
    <w:basedOn w:val="80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6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7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9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0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1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2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3">
    <w:name w:val="Table Grid"/>
    <w:basedOn w:val="80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48</cp:revision>
  <dcterms:created xsi:type="dcterms:W3CDTF">2023-10-31T06:24:00Z</dcterms:created>
  <dcterms:modified xsi:type="dcterms:W3CDTF">2025-04-11T07:22:06Z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