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73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ИЗВЕЩЕНИЕ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Liberation Serif" w:hAnsi="Liberation Serif"/>
          <w:b/>
          <w:i/>
          <w:sz w:val="20"/>
          <w:szCs w:val="20"/>
        </w:rPr>
      </w:pP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</w:t>
      </w:r>
      <w:r>
        <w:rPr>
          <w:rFonts w:ascii="Times New Roman" w:hAnsi="Times New Roman"/>
          <w:b/>
          <w:bCs/>
          <w:sz w:val="20"/>
          <w:szCs w:val="20"/>
        </w:rPr>
        <w:t xml:space="preserve"> 31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июля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аукциона по продаже земельного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Участниками аукциона являются граждане.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/>
          <w:sz w:val="20"/>
          <w:szCs w:val="20"/>
        </w:rPr>
        <w:t xml:space="preserve"> постановление Администрации города Костромы от 30</w:t>
      </w:r>
      <w:r>
        <w:rPr>
          <w:rFonts w:ascii="Times New Roman" w:hAnsi="Times New Roman"/>
          <w:sz w:val="20"/>
          <w:szCs w:val="20"/>
        </w:rPr>
        <w:t xml:space="preserve"> апреля 2025 </w:t>
      </w:r>
      <w:r>
        <w:rPr>
          <w:rFonts w:ascii="Times New Roman" w:hAnsi="Times New Roman"/>
          <w:sz w:val="20"/>
          <w:szCs w:val="20"/>
        </w:rPr>
        <w:t xml:space="preserve">года № 837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</w:rPr>
        <w:t xml:space="preserve">О проведен</w:t>
      </w:r>
      <w:r>
        <w:rPr>
          <w:rFonts w:ascii="Times New Roman" w:hAnsi="Times New Roman"/>
          <w:color w:val="000000"/>
          <w:sz w:val="20"/>
          <w:szCs w:val="20"/>
        </w:rPr>
        <w:t xml:space="preserve">ии аукциона по продаже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Тополиная, земельный участок 25а</w:t>
      </w:r>
      <w:r>
        <w:rPr>
          <w:rFonts w:ascii="Times New Roman" w:hAnsi="Times New Roman"/>
          <w:color w:val="000000"/>
          <w:sz w:val="20"/>
          <w:szCs w:val="20"/>
        </w:rPr>
        <w:t xml:space="preserve">»</w:t>
      </w:r>
      <w:r>
        <w:rPr>
          <w:rFonts w:ascii="Times New Roman" w:hAnsi="Times New Roman"/>
          <w:color w:val="000000"/>
          <w:sz w:val="20"/>
          <w:szCs w:val="20"/>
        </w:rPr>
        <w:t xml:space="preserve">; постановление Администрации города Костромы от 9 апреля 2025 года № 69</w:t>
      </w:r>
      <w:r>
        <w:rPr>
          <w:rFonts w:ascii="Times New Roman" w:hAnsi="Times New Roman"/>
          <w:color w:val="000000"/>
          <w:sz w:val="20"/>
          <w:szCs w:val="20"/>
        </w:rPr>
        <w:t xml:space="preserve">1 «Об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Озерная, земельный участок 63а».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Тополиная, земельный участок 25а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531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44:27:070411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1302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вид зоны по документу: з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она регулирования застройки и хозяйственной деятельности дальнего плана районного уровня в черте города Костромы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ЗРЗ (ДП К) объекта культурного наследия регионального значения «Усадьба Васильевское» Карцевых (Чумаковых)», XIX в. (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з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она с особыми условиями использования территории с р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еестровым номером границы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44:00-6.864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/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20</w:t>
      </w:r>
      <w:r>
        <w:rPr>
          <w:rFonts w:ascii="Times New Roman" w:hAnsi="Times New Roman"/>
          <w:sz w:val="20"/>
          <w:szCs w:val="20"/>
          <w:highlight w:val="white"/>
        </w:rPr>
        <w:t xml:space="preserve">.03</w:t>
      </w:r>
      <w:r>
        <w:rPr>
          <w:rFonts w:ascii="Times New Roman" w:hAnsi="Times New Roman"/>
          <w:sz w:val="20"/>
          <w:szCs w:val="20"/>
          <w:highlight w:val="white"/>
        </w:rPr>
        <w:t xml:space="preserve">.2025</w:t>
        <w:br/>
        <w:t xml:space="preserve">№ исх.02.11/1855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24</w:t>
      </w:r>
      <w:r>
        <w:rPr>
          <w:rFonts w:ascii="Times New Roman" w:hAnsi="Times New Roman"/>
          <w:sz w:val="20"/>
          <w:szCs w:val="20"/>
          <w:highlight w:val="white"/>
        </w:rPr>
        <w:t xml:space="preserve">.03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исх.02-11/1922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21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03.2025 № ИС-15/1480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27</w:t>
      </w:r>
      <w:r>
        <w:rPr>
          <w:rFonts w:ascii="Times New Roman" w:hAnsi="Times New Roman"/>
          <w:sz w:val="20"/>
          <w:szCs w:val="20"/>
          <w:highlight w:val="white"/>
        </w:rPr>
        <w:t xml:space="preserve">.03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</w:t>
      </w:r>
      <w:r>
        <w:rPr>
          <w:rFonts w:ascii="Times New Roman" w:hAnsi="Times New Roman"/>
          <w:sz w:val="20"/>
          <w:szCs w:val="20"/>
          <w:highlight w:val="white"/>
        </w:rPr>
        <w:t xml:space="preserve">4201/327-2025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28.03.2025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1/01236;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2 065 000</w:t>
      </w:r>
      <w:r>
        <w:rPr>
          <w:rFonts w:ascii="Times New Roman" w:hAnsi="Times New Roman"/>
          <w:sz w:val="20"/>
          <w:szCs w:val="20"/>
          <w:highlight w:val="white"/>
        </w:rPr>
        <w:t xml:space="preserve"> (Два миллиона шестьдесят пять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61 950</w:t>
      </w:r>
      <w:r>
        <w:rPr>
          <w:rFonts w:ascii="Times New Roman" w:hAnsi="Times New Roman"/>
          <w:sz w:val="20"/>
          <w:szCs w:val="20"/>
          <w:highlight w:val="white"/>
        </w:rPr>
        <w:t xml:space="preserve"> (Шестьдесят одна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тысяча девятьсот пятьдесят)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516 250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(Пятьсот шестнадцать тысяч двести пятьдесят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- 22.11.2024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Озерная, земельный участок 63а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500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44:27:050511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290;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вид зоны по документу: з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она умеренного подтопления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при глубине залегания грунтовых вод от 0,3-0,7 до 1,2-2 метров на территории городского округа г. Костромы и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населенных пунктов Костромского муниципального района в соответствии с ген.планом с учетом перспективной застройки,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р.Баклановка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(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з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она с особыми условиями использования территории с р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еестровым номером границы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44:27-6.3033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особые условия и режим хозяйственной деятельности в охранных зонах инженерных коммуникаций;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С учетом статьи 67.1 </w:t>
      </w:r>
      <w:r>
        <w:rPr>
          <w:rFonts w:ascii="Times New Roman" w:hAnsi="Times New Roman" w:cs="Times New Roman"/>
          <w:sz w:val="20"/>
          <w:szCs w:val="20"/>
        </w:rPr>
        <w:t xml:space="preserve">Водного кодекса Российской Федерации в границах зон </w:t>
      </w:r>
      <w:r>
        <w:rPr>
          <w:rFonts w:ascii="Times New Roman" w:hAnsi="Times New Roman" w:cs="Times New Roman"/>
          <w:sz w:val="20"/>
          <w:szCs w:val="20"/>
        </w:rPr>
        <w:t xml:space="preserve">затопления, подтопления допускается строительство объектов капитального строительства при условии обеспечения таких объектов сооружениями и (или) методами инженерной защиты территорий и объектов от негативного воздействия вод.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22</w:t>
      </w:r>
      <w:r>
        <w:rPr>
          <w:rFonts w:ascii="Times New Roman" w:hAnsi="Times New Roman"/>
          <w:sz w:val="20"/>
          <w:szCs w:val="20"/>
          <w:highlight w:val="white"/>
        </w:rPr>
        <w:t xml:space="preserve">.04</w:t>
      </w:r>
      <w:r>
        <w:rPr>
          <w:rFonts w:ascii="Times New Roman" w:hAnsi="Times New Roman"/>
          <w:sz w:val="20"/>
          <w:szCs w:val="20"/>
          <w:highlight w:val="white"/>
        </w:rPr>
        <w:t xml:space="preserve">.2025</w:t>
        <w:br/>
        <w:t xml:space="preserve">№ исх.02.11/2760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22</w:t>
      </w:r>
      <w:r>
        <w:rPr>
          <w:rFonts w:ascii="Times New Roman" w:hAnsi="Times New Roman"/>
          <w:sz w:val="20"/>
          <w:szCs w:val="20"/>
          <w:highlight w:val="white"/>
        </w:rPr>
        <w:t xml:space="preserve">.04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исх.02.11/2759д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22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04.2025 № ИС-15/2081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22</w:t>
      </w:r>
      <w:r>
        <w:rPr>
          <w:rFonts w:ascii="Times New Roman" w:hAnsi="Times New Roman"/>
          <w:sz w:val="20"/>
          <w:szCs w:val="20"/>
          <w:highlight w:val="white"/>
        </w:rPr>
        <w:t xml:space="preserve">.04</w:t>
      </w:r>
      <w:r>
        <w:rPr>
          <w:rFonts w:ascii="Times New Roman" w:hAnsi="Times New Roman"/>
          <w:sz w:val="20"/>
          <w:szCs w:val="20"/>
          <w:highlight w:val="white"/>
        </w:rPr>
        <w:t xml:space="preserve">.2025 № Исх</w:t>
      </w:r>
      <w:r>
        <w:rPr>
          <w:rFonts w:ascii="Times New Roman" w:hAnsi="Times New Roman"/>
          <w:sz w:val="20"/>
          <w:szCs w:val="20"/>
          <w:highlight w:val="white"/>
        </w:rPr>
        <w:t xml:space="preserve">4201/461-2025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22.04.2025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1/01666;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2 346 000</w:t>
      </w:r>
      <w:r>
        <w:rPr>
          <w:rFonts w:ascii="Times New Roman" w:hAnsi="Times New Roman"/>
          <w:sz w:val="20"/>
          <w:szCs w:val="20"/>
          <w:highlight w:val="white"/>
        </w:rPr>
        <w:t xml:space="preserve"> (Два миллиона триста сорок шесть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70 380</w:t>
      </w:r>
      <w:r>
        <w:rPr>
          <w:rFonts w:ascii="Times New Roman" w:hAnsi="Times New Roman"/>
          <w:sz w:val="20"/>
          <w:szCs w:val="20"/>
          <w:highlight w:val="white"/>
        </w:rPr>
        <w:t xml:space="preserve"> (Семьдесят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 триста восемьдесят)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586 500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(Пятьсот восемьдесят шесть тысяч пятьсот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- 30.03.2025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</w:t>
      </w:r>
      <w:r>
        <w:rPr>
          <w:rFonts w:ascii="Times New Roman" w:hAnsi="Times New Roman"/>
          <w:sz w:val="20"/>
          <w:szCs w:val="20"/>
          <w:highlight w:val="white"/>
        </w:rPr>
        <w:t xml:space="preserve">е – организатор).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6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4 июля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28 июля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www.rts-tender.ru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30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июля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Кодексом порядке договора купли-продажи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купли-продажи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6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30 июля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31 июля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купли - 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договора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купли – продажи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купли - продажи земельного участка в пятидневный срок со дня истечения 10 (десяти) дней после</w:t>
      </w:r>
      <w:r>
        <w:rPr>
          <w:rFonts w:ascii="Times New Roman" w:hAnsi="Times New Roman"/>
          <w:sz w:val="20"/>
          <w:szCs w:val="20"/>
        </w:rPr>
        <w:t xml:space="preserve"> размещения информации о результатах аукциона на официальном сайте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купли - 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купли – продажи </w:t>
      </w:r>
      <w:r>
        <w:rPr>
          <w:rFonts w:ascii="Times New Roman" w:hAnsi="Times New Roman"/>
          <w:sz w:val="20"/>
          <w:szCs w:val="20"/>
          <w:lang w:eastAsia="en-US"/>
        </w:rPr>
        <w:t xml:space="preserve">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купли - 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купли - продажи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15. Земельные участки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отнесены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352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3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выдан:_________________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3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 № 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купли-продажи земельного участка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город Кострома                                                                               ______________ года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адресу:_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Земельный участок обременен _________________________________.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Цена договора и порядок оплаты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назначение платежа: за земельный участок по договору купли-продажи от ___________  № ____.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рублей зачисляется в счет платежа по настоящему договору за земельный участок.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Обяз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Права и обязанности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Покупатель обязан: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Пени начи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0"/>
          <w:szCs w:val="20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Возникновение права собственности и действие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Настоящий договор признается заключенным с момента его подписания Сторонами.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Расторжение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Заключительные положения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Юридические адреса и реквизиты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Подписи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655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567" w:right="709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78"/>
    <w:uiPriority w:val="10"/>
    <w:rPr>
      <w:sz w:val="48"/>
      <w:szCs w:val="48"/>
    </w:rPr>
  </w:style>
  <w:style w:type="character" w:styleId="728">
    <w:name w:val="Subtitle Char"/>
    <w:basedOn w:val="743"/>
    <w:link w:val="779"/>
    <w:uiPriority w:val="11"/>
    <w:rPr>
      <w:sz w:val="24"/>
      <w:szCs w:val="24"/>
    </w:rPr>
  </w:style>
  <w:style w:type="character" w:styleId="729">
    <w:name w:val="Quote Char"/>
    <w:link w:val="780"/>
    <w:uiPriority w:val="29"/>
    <w:rPr>
      <w:i/>
    </w:rPr>
  </w:style>
  <w:style w:type="character" w:styleId="730">
    <w:name w:val="Intense Quote Char"/>
    <w:link w:val="781"/>
    <w:uiPriority w:val="30"/>
    <w:rPr>
      <w:i/>
    </w:rPr>
  </w:style>
  <w:style w:type="character" w:styleId="731">
    <w:name w:val="Endnote Text Char"/>
    <w:link w:val="783"/>
    <w:uiPriority w:val="99"/>
    <w:rPr>
      <w:sz w:val="20"/>
    </w:rPr>
  </w:style>
  <w:style w:type="paragraph" w:styleId="73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3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4">
    <w:name w:val="Heading 1"/>
    <w:basedOn w:val="733"/>
    <w:next w:val="733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9">
    <w:name w:val="Heading 6"/>
    <w:basedOn w:val="733"/>
    <w:next w:val="73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  <w:qFormat/>
  </w:style>
  <w:style w:type="character" w:styleId="744" w:customStyle="1">
    <w:name w:val="Заголовок 2 Знак"/>
    <w:basedOn w:val="743"/>
    <w:uiPriority w:val="9"/>
    <w:qFormat/>
    <w:rPr>
      <w:rFonts w:ascii="Arial" w:hAnsi="Arial" w:eastAsia="Arial" w:cs="Arial"/>
      <w:sz w:val="34"/>
    </w:rPr>
  </w:style>
  <w:style w:type="character" w:styleId="745" w:customStyle="1">
    <w:name w:val="Заголовок 6 Знак"/>
    <w:basedOn w:val="7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Заголовок Знак"/>
    <w:basedOn w:val="743"/>
    <w:uiPriority w:val="10"/>
    <w:qFormat/>
    <w:rPr>
      <w:sz w:val="48"/>
      <w:szCs w:val="48"/>
    </w:rPr>
  </w:style>
  <w:style w:type="character" w:styleId="750" w:customStyle="1">
    <w:name w:val="Подзаголовок Знак"/>
    <w:basedOn w:val="743"/>
    <w:uiPriority w:val="11"/>
    <w:qFormat/>
    <w:rPr>
      <w:sz w:val="24"/>
      <w:szCs w:val="24"/>
    </w:rPr>
  </w:style>
  <w:style w:type="character" w:styleId="751" w:customStyle="1">
    <w:name w:val="Цитата 2 Знак"/>
    <w:link w:val="780"/>
    <w:uiPriority w:val="29"/>
    <w:qFormat/>
    <w:rPr>
      <w:i/>
    </w:rPr>
  </w:style>
  <w:style w:type="character" w:styleId="752" w:customStyle="1">
    <w:name w:val="Выделенная цитата Знак"/>
    <w:link w:val="781"/>
    <w:uiPriority w:val="30"/>
    <w:qFormat/>
    <w:rPr>
      <w:i/>
    </w:rPr>
  </w:style>
  <w:style w:type="character" w:styleId="753" w:customStyle="1">
    <w:name w:val="Header Char"/>
    <w:basedOn w:val="743"/>
    <w:uiPriority w:val="99"/>
    <w:qFormat/>
  </w:style>
  <w:style w:type="character" w:styleId="754" w:customStyle="1">
    <w:name w:val="Footer Char"/>
    <w:basedOn w:val="743"/>
    <w:uiPriority w:val="99"/>
    <w:qFormat/>
  </w:style>
  <w:style w:type="character" w:styleId="755" w:customStyle="1">
    <w:name w:val="Caption Char"/>
    <w:uiPriority w:val="99"/>
    <w:qFormat/>
  </w:style>
  <w:style w:type="character" w:styleId="756" w:customStyle="1">
    <w:name w:val="Footnote Text Char"/>
    <w:uiPriority w:val="99"/>
    <w:qFormat/>
    <w:rPr>
      <w:sz w:val="18"/>
    </w:rPr>
  </w:style>
  <w:style w:type="character" w:styleId="757" w:customStyle="1">
    <w:name w:val="Текст концевой сноски Знак"/>
    <w:uiPriority w:val="99"/>
    <w:qFormat/>
    <w:rPr>
      <w:sz w:val="20"/>
    </w:rPr>
  </w:style>
  <w:style w:type="character" w:styleId="758">
    <w:name w:val="Символ концевой сноски"/>
    <w:basedOn w:val="743"/>
    <w:uiPriority w:val="99"/>
    <w:semiHidden/>
    <w:unhideWhenUsed/>
    <w:qFormat/>
    <w:rPr>
      <w:vertAlign w:val="superscript"/>
    </w:rPr>
  </w:style>
  <w:style w:type="character" w:styleId="759">
    <w:name w:val="endnote reference"/>
    <w:rPr>
      <w:vertAlign w:val="superscript"/>
    </w:rPr>
  </w:style>
  <w:style w:type="character" w:styleId="760">
    <w:name w:val="FollowedHyperlink"/>
    <w:basedOn w:val="743"/>
    <w:uiPriority w:val="99"/>
    <w:unhideWhenUsed/>
    <w:qFormat/>
    <w:rPr>
      <w:color w:val="800080"/>
      <w:u w:val="single"/>
    </w:rPr>
  </w:style>
  <w:style w:type="character" w:styleId="761">
    <w:name w:val="Hyperlink"/>
    <w:basedOn w:val="743"/>
    <w:uiPriority w:val="99"/>
    <w:unhideWhenUsed/>
    <w:qFormat/>
    <w:rPr>
      <w:color w:val="0000ff"/>
      <w:u w:val="single"/>
    </w:rPr>
  </w:style>
  <w:style w:type="character" w:styleId="762">
    <w:name w:val="Strong"/>
    <w:basedOn w:val="743"/>
    <w:qFormat/>
    <w:rPr>
      <w:rFonts w:cs="Times New Roman"/>
      <w:b/>
      <w:bCs/>
    </w:rPr>
  </w:style>
  <w:style w:type="character" w:styleId="763" w:customStyle="1">
    <w:name w:val="Верх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Ниж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5" w:customStyle="1">
    <w:name w:val="10"/>
    <w:basedOn w:val="743"/>
    <w:qFormat/>
    <w:rPr>
      <w:rFonts w:ascii="Times New Roman" w:hAnsi="Times New Roman" w:cs="Times New Roman"/>
    </w:rPr>
  </w:style>
  <w:style w:type="character" w:styleId="766" w:customStyle="1">
    <w:name w:val="15"/>
    <w:basedOn w:val="743"/>
    <w:qFormat/>
    <w:rPr>
      <w:rFonts w:ascii="Times New Roman" w:hAnsi="Times New Roman" w:cs="Times New Roman"/>
      <w:color w:val="0000ff"/>
      <w:u w:val="single"/>
    </w:rPr>
  </w:style>
  <w:style w:type="character" w:styleId="767" w:customStyle="1">
    <w:name w:val="16"/>
    <w:basedOn w:val="743"/>
    <w:qFormat/>
    <w:rPr>
      <w:rFonts w:ascii="Times New Roman" w:hAnsi="Times New Roman" w:cs="Times New Roman"/>
    </w:rPr>
  </w:style>
  <w:style w:type="character" w:styleId="768" w:customStyle="1">
    <w:name w:val="rts-text"/>
    <w:basedOn w:val="743"/>
    <w:qFormat/>
  </w:style>
  <w:style w:type="character" w:styleId="769">
    <w:name w:val="Символ сноски"/>
    <w:qFormat/>
    <w:rPr>
      <w:vertAlign w:val="superscript"/>
    </w:rPr>
  </w:style>
  <w:style w:type="character" w:styleId="770">
    <w:name w:val="footnote reference"/>
    <w:rPr>
      <w:vertAlign w:val="superscript"/>
    </w:rPr>
  </w:style>
  <w:style w:type="character" w:styleId="771" w:customStyle="1">
    <w:name w:val="Текст сноски Знак"/>
    <w:basedOn w:val="743"/>
    <w:qFormat/>
    <w:rPr>
      <w:rFonts w:ascii="Times New Roman" w:hAnsi="Times New Roman" w:eastAsia="Times New Roman" w:cs="Times New Roman"/>
      <w:lang w:eastAsia="zh-CN"/>
    </w:rPr>
  </w:style>
  <w:style w:type="character" w:styleId="772" w:customStyle="1">
    <w:name w:val="Текст выноски Знак"/>
    <w:basedOn w:val="743"/>
    <w:link w:val="80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3">
    <w:name w:val="Заголовок"/>
    <w:basedOn w:val="733"/>
    <w:next w:val="77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4">
    <w:name w:val="Body Text"/>
    <w:basedOn w:val="733"/>
    <w:pPr>
      <w:spacing w:before="0" w:after="140" w:line="276" w:lineRule="auto"/>
    </w:pPr>
  </w:style>
  <w:style w:type="paragraph" w:styleId="775">
    <w:name w:val="List"/>
    <w:basedOn w:val="774"/>
    <w:rPr>
      <w:rFonts w:cs="Mangal"/>
    </w:rPr>
  </w:style>
  <w:style w:type="paragraph" w:styleId="776">
    <w:name w:val="Caption"/>
    <w:basedOn w:val="733"/>
    <w:link w:val="75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7">
    <w:name w:val="Указатель"/>
    <w:basedOn w:val="733"/>
    <w:qFormat/>
    <w:pPr>
      <w:suppressLineNumbers/>
    </w:pPr>
    <w:rPr>
      <w:rFonts w:cs="Mangal"/>
    </w:rPr>
  </w:style>
  <w:style w:type="paragraph" w:styleId="778">
    <w:name w:val="Title"/>
    <w:basedOn w:val="733"/>
    <w:next w:val="73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9">
    <w:name w:val="Subtitle"/>
    <w:basedOn w:val="733"/>
    <w:next w:val="733"/>
    <w:link w:val="750"/>
    <w:uiPriority w:val="11"/>
    <w:qFormat/>
    <w:pPr>
      <w:spacing w:before="200" w:after="200"/>
    </w:pPr>
  </w:style>
  <w:style w:type="paragraph" w:styleId="780">
    <w:name w:val="Quote"/>
    <w:basedOn w:val="733"/>
    <w:next w:val="733"/>
    <w:link w:val="751"/>
    <w:uiPriority w:val="29"/>
    <w:qFormat/>
    <w:pPr>
      <w:ind w:left="720" w:right="720" w:firstLine="0"/>
    </w:pPr>
    <w:rPr>
      <w:i/>
    </w:rPr>
  </w:style>
  <w:style w:type="paragraph" w:styleId="781">
    <w:name w:val="Intense Quote"/>
    <w:basedOn w:val="733"/>
    <w:next w:val="733"/>
    <w:link w:val="75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2">
    <w:name w:val="Caption"/>
    <w:basedOn w:val="733"/>
    <w:next w:val="733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3">
    <w:name w:val="endnote text"/>
    <w:basedOn w:val="733"/>
    <w:link w:val="757"/>
    <w:uiPriority w:val="99"/>
    <w:semiHidden/>
    <w:unhideWhenUsed/>
    <w:rPr>
      <w:sz w:val="20"/>
    </w:rPr>
  </w:style>
  <w:style w:type="paragraph" w:styleId="784">
    <w:name w:val="toc 1"/>
    <w:basedOn w:val="733"/>
    <w:next w:val="733"/>
    <w:uiPriority w:val="39"/>
    <w:unhideWhenUsed/>
    <w:pPr>
      <w:spacing w:before="0" w:after="57"/>
    </w:pPr>
  </w:style>
  <w:style w:type="paragraph" w:styleId="785">
    <w:name w:val="toc 3"/>
    <w:basedOn w:val="733"/>
    <w:next w:val="733"/>
    <w:uiPriority w:val="39"/>
    <w:unhideWhenUsed/>
    <w:pPr>
      <w:ind w:left="567" w:firstLine="0"/>
      <w:spacing w:before="0" w:after="57"/>
    </w:pPr>
  </w:style>
  <w:style w:type="paragraph" w:styleId="786">
    <w:name w:val="toc 4"/>
    <w:basedOn w:val="733"/>
    <w:next w:val="733"/>
    <w:uiPriority w:val="39"/>
    <w:unhideWhenUsed/>
    <w:pPr>
      <w:ind w:left="850" w:firstLine="0"/>
      <w:spacing w:before="0" w:after="57"/>
    </w:pPr>
  </w:style>
  <w:style w:type="paragraph" w:styleId="787">
    <w:name w:val="toc 5"/>
    <w:basedOn w:val="733"/>
    <w:next w:val="733"/>
    <w:uiPriority w:val="39"/>
    <w:unhideWhenUsed/>
    <w:pPr>
      <w:ind w:left="1134" w:firstLine="0"/>
      <w:spacing w:before="0" w:after="57"/>
    </w:pPr>
  </w:style>
  <w:style w:type="paragraph" w:styleId="788">
    <w:name w:val="toc 6"/>
    <w:basedOn w:val="733"/>
    <w:next w:val="733"/>
    <w:uiPriority w:val="39"/>
    <w:unhideWhenUsed/>
    <w:pPr>
      <w:ind w:left="1417" w:firstLine="0"/>
      <w:spacing w:before="0" w:after="57"/>
    </w:pPr>
  </w:style>
  <w:style w:type="paragraph" w:styleId="789">
    <w:name w:val="toc 7"/>
    <w:basedOn w:val="733"/>
    <w:next w:val="733"/>
    <w:uiPriority w:val="39"/>
    <w:unhideWhenUsed/>
    <w:pPr>
      <w:ind w:left="1701" w:firstLine="0"/>
      <w:spacing w:before="0" w:after="57"/>
    </w:pPr>
  </w:style>
  <w:style w:type="paragraph" w:styleId="790">
    <w:name w:val="toc 8"/>
    <w:basedOn w:val="733"/>
    <w:next w:val="733"/>
    <w:uiPriority w:val="39"/>
    <w:unhideWhenUsed/>
    <w:pPr>
      <w:ind w:left="1984" w:firstLine="0"/>
      <w:spacing w:before="0" w:after="57"/>
    </w:pPr>
  </w:style>
  <w:style w:type="paragraph" w:styleId="791">
    <w:name w:val="toc 9"/>
    <w:basedOn w:val="733"/>
    <w:next w:val="733"/>
    <w:uiPriority w:val="39"/>
    <w:unhideWhenUsed/>
    <w:pPr>
      <w:ind w:left="2268" w:firstLine="0"/>
      <w:spacing w:before="0" w:after="57"/>
    </w:pPr>
  </w:style>
  <w:style w:type="paragraph" w:styleId="792">
    <w:name w:val="Index Heading"/>
    <w:basedOn w:val="773"/>
  </w:style>
  <w:style w:type="paragraph" w:styleId="79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4">
    <w:name w:val="table of figures"/>
    <w:basedOn w:val="733"/>
    <w:next w:val="733"/>
    <w:uiPriority w:val="99"/>
    <w:unhideWhenUsed/>
    <w:qFormat/>
  </w:style>
  <w:style w:type="paragraph" w:styleId="795">
    <w:name w:val="Body Text Indent 3"/>
    <w:basedOn w:val="73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6">
    <w:name w:val="Колонтитул"/>
    <w:basedOn w:val="733"/>
    <w:qFormat/>
  </w:style>
  <w:style w:type="paragraph" w:styleId="797">
    <w:name w:val="Header"/>
    <w:basedOn w:val="733"/>
    <w:link w:val="763"/>
    <w:uiPriority w:val="99"/>
    <w:unhideWhenUsed/>
    <w:qFormat/>
  </w:style>
  <w:style w:type="paragraph" w:styleId="798">
    <w:name w:val="Footer"/>
    <w:basedOn w:val="733"/>
    <w:link w:val="764"/>
    <w:uiPriority w:val="99"/>
    <w:unhideWhenUsed/>
    <w:qFormat/>
  </w:style>
  <w:style w:type="paragraph" w:styleId="799">
    <w:name w:val="Normal (Web)"/>
    <w:basedOn w:val="73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0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01" w:customStyle="1">
    <w:name w:val="rezul"/>
    <w:basedOn w:val="73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2" w:customStyle="1">
    <w:name w:val="Заголов1"/>
    <w:basedOn w:val="73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3">
    <w:name w:val="List Paragraph"/>
    <w:basedOn w:val="733"/>
    <w:uiPriority w:val="99"/>
    <w:qFormat/>
    <w:pPr>
      <w:contextualSpacing/>
      <w:ind w:left="720" w:firstLine="0"/>
      <w:spacing w:before="0" w:after="0"/>
    </w:pPr>
  </w:style>
  <w:style w:type="paragraph" w:styleId="804">
    <w:name w:val="footnote text"/>
    <w:basedOn w:val="733"/>
    <w:link w:val="771"/>
    <w:rPr>
      <w:sz w:val="20"/>
      <w:szCs w:val="20"/>
      <w:lang w:eastAsia="zh-CN"/>
    </w:rPr>
  </w:style>
  <w:style w:type="paragraph" w:styleId="805">
    <w:name w:val="Balloon Text"/>
    <w:basedOn w:val="733"/>
    <w:link w:val="77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6" w:default="1">
    <w:name w:val="No List"/>
    <w:uiPriority w:val="99"/>
    <w:semiHidden/>
    <w:unhideWhenUsed/>
    <w:qFormat/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>
    <w:name w:val="Plain Table 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>
    <w:name w:val="Plain Table 2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>
    <w:name w:val="Plain Table 3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7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8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9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0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>
    <w:name w:val="List Table 1 Light"/>
    <w:basedOn w:val="80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7">
    <w:name w:val="List Table 3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>
    <w:name w:val="List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9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1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2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3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4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5">
    <w:name w:val="List Table 7 Colorful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ned - Accent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3" w:customStyle="1">
    <w:name w:val="Lined - Accent 1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4" w:customStyle="1">
    <w:name w:val="Lined - Accent 2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5" w:customStyle="1">
    <w:name w:val="Lined - Accent 3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6" w:customStyle="1">
    <w:name w:val="Lined - Accent 4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7" w:customStyle="1">
    <w:name w:val="Lined - Accent 5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8" w:customStyle="1">
    <w:name w:val="Lined - Accent 6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9" w:customStyle="1">
    <w:name w:val="Bordered &amp; Lined - Accent"/>
    <w:basedOn w:val="8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0" w:customStyle="1">
    <w:name w:val="Bordered &amp; Lined - Accent 1"/>
    <w:basedOn w:val="80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1" w:customStyle="1">
    <w:name w:val="Bordered &amp; Lined - Accent 2"/>
    <w:basedOn w:val="80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2" w:customStyle="1">
    <w:name w:val="Bordered &amp; Lined - Accent 3"/>
    <w:basedOn w:val="80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3" w:customStyle="1">
    <w:name w:val="Bordered &amp; Lined - Accent 4"/>
    <w:basedOn w:val="80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4" w:customStyle="1">
    <w:name w:val="Bordered &amp; Lined - Accent 5"/>
    <w:basedOn w:val="80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5" w:customStyle="1">
    <w:name w:val="Bordered &amp; Lined - Accent 6"/>
    <w:basedOn w:val="80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6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7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9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0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1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2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3">
    <w:name w:val="Table Grid"/>
    <w:basedOn w:val="80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lastModifiedBy>SokolovaMY</cp:lastModifiedBy>
  <cp:revision>54</cp:revision>
  <dcterms:created xsi:type="dcterms:W3CDTF">2023-10-31T06:24:00Z</dcterms:created>
  <dcterms:modified xsi:type="dcterms:W3CDTF">2025-07-03T08:20:57Z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