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/>
    </w:p>
    <w:p>
      <w:pPr>
        <w:pStyle w:val="705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pStyle w:val="705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pStyle w:val="705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/>
    </w:p>
    <w:p>
      <w:pPr>
        <w:pStyle w:val="705"/>
        <w:ind w:left="5245" w:firstLine="0"/>
        <w:rPr>
          <w:b/>
          <w:bCs/>
        </w:rPr>
      </w:pPr>
      <w:r>
        <w:rPr>
          <w:b/>
          <w:bCs/>
        </w:rPr>
      </w:r>
      <w:r/>
    </w:p>
    <w:p>
      <w:pPr>
        <w:pStyle w:val="705"/>
        <w:ind w:firstLine="851"/>
        <w:rPr>
          <w:b/>
          <w:bCs/>
        </w:rPr>
      </w:pPr>
      <w:r>
        <w:rPr>
          <w:b/>
          <w:bCs/>
        </w:rPr>
      </w:r>
      <w:r/>
    </w:p>
    <w:p>
      <w:pPr>
        <w:pStyle w:val="774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/>
    </w:p>
    <w:p>
      <w:pPr>
        <w:pStyle w:val="774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проведении аукциона по продаже земельного участка, расположенного на территории города Костромы, государственная собственность на который не разграничена </w:t>
      </w:r>
      <w:r/>
    </w:p>
    <w:p>
      <w:pPr>
        <w:pStyle w:val="705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  <w:highlight w:val="none"/>
        </w:rPr>
        <w:t xml:space="preserve">5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июня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по продаже земельного участка.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  <w:t xml:space="preserve">Участниками аукциона являются граждане.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25 декабря 2023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2750 «</w:t>
      </w:r>
      <w:r>
        <w:rPr>
          <w:rFonts w:ascii="Times New Roman" w:hAnsi="Times New Roman"/>
          <w:color w:val="000000"/>
          <w:sz w:val="26"/>
          <w:szCs w:val="26"/>
        </w:rPr>
        <w:t xml:space="preserve">Об отказе в предоставлении в собственность и о проведении аукциона по продаже земельного участка, имеющего местоположение: Костромская область, город Кострома, улица Артиллерийская, 11».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/>
    </w:p>
    <w:p>
      <w:pPr>
        <w:pStyle w:val="70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</w:t>
      </w:r>
      <w:r>
        <w:rPr>
          <w:rFonts w:ascii="Times New Roman" w:hAnsi="Times New Roman"/>
          <w:color w:val="000000"/>
          <w:sz w:val="26"/>
          <w:szCs w:val="26"/>
        </w:rPr>
        <w:t xml:space="preserve">: Российская Федерация, Костромская область, городской округ город Кострома, город Кострома, улица Артиллерийская</w:t>
      </w:r>
      <w:r>
        <w:rPr>
          <w:rFonts w:ascii="Times New Roman" w:hAnsi="Times New Roman"/>
          <w:color w:val="000000"/>
          <w:sz w:val="26"/>
          <w:szCs w:val="26"/>
        </w:rPr>
        <w:t xml:space="preserve">, 11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площадь: 726</w:t>
      </w:r>
      <w:r>
        <w:rPr>
          <w:rFonts w:ascii="Times New Roman" w:hAnsi="Times New Roman"/>
          <w:sz w:val="26"/>
          <w:szCs w:val="26"/>
        </w:rPr>
        <w:t xml:space="preserve"> кв.м;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номер: 44:27:020301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342;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категория земель: земли населенных пунктов;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разрешенное использов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для индивидуального жилищного строительства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обременения и ограничения: земельный участок расположен </w:t>
      </w:r>
      <w:r>
        <w:rPr>
          <w:rFonts w:ascii="Times New Roman" w:hAnsi="Times New Roman"/>
          <w:sz w:val="26"/>
          <w:szCs w:val="26"/>
          <w:highlight w:val="white"/>
        </w:rPr>
        <w:t xml:space="preserve">в приаэродромной территории аэродрома Кострома (Сокеркино) (зона с особыми условиями использования территории с реес</w:t>
      </w:r>
      <w:r>
        <w:rPr>
          <w:rFonts w:ascii="Times New Roman" w:hAnsi="Times New Roman"/>
          <w:sz w:val="26"/>
          <w:szCs w:val="26"/>
          <w:highlight w:val="white"/>
        </w:rPr>
        <w:t xml:space="preserve">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/>
          <w:sz w:val="26"/>
          <w:szCs w:val="26"/>
          <w:highlight w:val="white"/>
        </w:rPr>
        <w:t xml:space="preserve">3</w:t>
      </w:r>
      <w:r>
        <w:rPr>
          <w:rFonts w:ascii="Times New Roman" w:hAnsi="Times New Roman"/>
          <w:sz w:val="26"/>
          <w:szCs w:val="26"/>
          <w:highlight w:val="white"/>
        </w:rPr>
        <w:t xml:space="preserve">);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</w:t>
      </w:r>
      <w:r>
        <w:rPr>
          <w:rFonts w:ascii="Times New Roman" w:hAnsi="Times New Roman"/>
          <w:sz w:val="26"/>
          <w:szCs w:val="26"/>
        </w:rPr>
        <w:t xml:space="preserve">ства: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«Костромагорводоканал» от </w:t>
      </w:r>
      <w:r>
        <w:rPr>
          <w:rFonts w:ascii="Times New Roman" w:hAnsi="Times New Roman"/>
          <w:sz w:val="26"/>
          <w:szCs w:val="26"/>
          <w:highlight w:val="white"/>
        </w:rPr>
        <w:t xml:space="preserve">22.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№ исх.02.11/274</w:t>
      </w:r>
      <w:r>
        <w:rPr>
          <w:rFonts w:ascii="Times New Roman" w:hAnsi="Times New Roman"/>
          <w:sz w:val="26"/>
          <w:szCs w:val="26"/>
          <w:highlight w:val="white"/>
        </w:rPr>
        <w:t xml:space="preserve">д, от </w:t>
      </w:r>
      <w:r>
        <w:rPr>
          <w:rFonts w:ascii="Times New Roman" w:hAnsi="Times New Roman"/>
          <w:sz w:val="26"/>
          <w:szCs w:val="26"/>
          <w:highlight w:val="white"/>
        </w:rPr>
        <w:t xml:space="preserve">19.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</w:t>
        <w:br/>
        <w:t xml:space="preserve">№ исх.02.11/</w:t>
      </w:r>
      <w:r>
        <w:rPr>
          <w:rFonts w:ascii="Times New Roman" w:hAnsi="Times New Roman"/>
          <w:sz w:val="26"/>
          <w:szCs w:val="26"/>
          <w:highlight w:val="white"/>
        </w:rPr>
        <w:t xml:space="preserve">229д; газоснабжение от АО «Газпром газораспределение Кострома» от </w:t>
      </w:r>
      <w:r>
        <w:rPr>
          <w:rFonts w:ascii="Times New Roman" w:hAnsi="Times New Roman"/>
          <w:sz w:val="26"/>
          <w:szCs w:val="26"/>
          <w:highlight w:val="white"/>
        </w:rPr>
        <w:t xml:space="preserve">24.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№ ИС-15/</w:t>
      </w:r>
      <w:r>
        <w:rPr>
          <w:rFonts w:ascii="Times New Roman" w:hAnsi="Times New Roman"/>
          <w:sz w:val="26"/>
          <w:szCs w:val="26"/>
          <w:highlight w:val="white"/>
        </w:rPr>
        <w:t xml:space="preserve">317, </w:t>
      </w:r>
      <w:r>
        <w:rPr>
          <w:rFonts w:ascii="Times New Roman" w:hAnsi="Times New Roman"/>
          <w:sz w:val="26"/>
          <w:szCs w:val="26"/>
          <w:highlight w:val="white"/>
        </w:rPr>
        <w:t xml:space="preserve">теплоснабжение от </w:t>
      </w:r>
      <w:r>
        <w:rPr>
          <w:rFonts w:ascii="Times New Roman" w:hAnsi="Times New Roman"/>
          <w:sz w:val="26"/>
          <w:szCs w:val="26"/>
          <w:highlight w:val="white"/>
        </w:rPr>
        <w:t xml:space="preserve">ПАО «ТГК-2»</w:t>
      </w:r>
      <w:r>
        <w:rPr>
          <w:rFonts w:ascii="Times New Roman" w:hAnsi="Times New Roman"/>
          <w:sz w:val="26"/>
          <w:szCs w:val="26"/>
          <w:highlight w:val="white"/>
        </w:rPr>
        <w:t xml:space="preserve"> от </w:t>
      </w:r>
      <w:r>
        <w:rPr>
          <w:rFonts w:ascii="Times New Roman" w:hAnsi="Times New Roman"/>
          <w:sz w:val="26"/>
          <w:szCs w:val="26"/>
          <w:highlight w:val="white"/>
        </w:rPr>
        <w:t xml:space="preserve">19.</w:t>
      </w:r>
      <w:r>
        <w:rPr>
          <w:rFonts w:ascii="Times New Roman" w:hAnsi="Times New Roman"/>
          <w:sz w:val="26"/>
          <w:szCs w:val="26"/>
          <w:highlight w:val="white"/>
        </w:rPr>
        <w:t xml:space="preserve">01.2024 </w:t>
        <w:br/>
        <w:t xml:space="preserve">№ </w:t>
      </w:r>
      <w:r>
        <w:rPr>
          <w:rFonts w:ascii="Times New Roman" w:hAnsi="Times New Roman"/>
          <w:sz w:val="26"/>
          <w:szCs w:val="26"/>
          <w:highlight w:val="white"/>
        </w:rPr>
        <w:t xml:space="preserve">4201/59-2024</w:t>
      </w:r>
      <w:r>
        <w:rPr>
          <w:rFonts w:ascii="Times New Roman" w:hAnsi="Times New Roman"/>
          <w:sz w:val="26"/>
          <w:szCs w:val="26"/>
          <w:highlight w:val="white"/>
        </w:rPr>
        <w:t xml:space="preserve">, </w:t>
      </w:r>
      <w:r>
        <w:rPr>
          <w:rFonts w:ascii="Times New Roman" w:hAnsi="Times New Roman"/>
          <w:sz w:val="26"/>
          <w:szCs w:val="26"/>
          <w:highlight w:val="white"/>
        </w:rPr>
        <w:t xml:space="preserve">от МУП г.Костромы «Городские сети» от 22.01.2024 </w:t>
        <w:br/>
        <w:t xml:space="preserve">№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13-0</w:t>
      </w:r>
      <w:r>
        <w:rPr>
          <w:rFonts w:ascii="Times New Roman" w:hAnsi="Times New Roman"/>
          <w:sz w:val="26"/>
          <w:szCs w:val="26"/>
          <w:highlight w:val="white"/>
        </w:rPr>
        <w:t xml:space="preserve">1/00154; 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>
        <w:rPr>
          <w:rFonts w:ascii="Times New Roman" w:hAnsi="Times New Roman"/>
          <w:sz w:val="26"/>
          <w:szCs w:val="26"/>
          <w:highlight w:val="white"/>
        </w:rPr>
        <w:t xml:space="preserve">начальная цена земельного участка</w:t>
      </w:r>
      <w:r>
        <w:rPr>
          <w:rFonts w:ascii="Times New Roman" w:hAnsi="Times New Roman"/>
          <w:sz w:val="26"/>
          <w:szCs w:val="26"/>
          <w:highlight w:val="white"/>
        </w:rPr>
        <w:t xml:space="preserve">: 2 </w:t>
      </w:r>
      <w:r>
        <w:rPr>
          <w:rFonts w:ascii="Times New Roman" w:hAnsi="Times New Roman"/>
          <w:sz w:val="26"/>
          <w:szCs w:val="26"/>
          <w:highlight w:val="white"/>
        </w:rPr>
        <w:t xml:space="preserve">374 000 </w:t>
      </w:r>
      <w:r>
        <w:rPr>
          <w:rFonts w:ascii="Times New Roman" w:hAnsi="Times New Roman"/>
          <w:sz w:val="26"/>
          <w:szCs w:val="26"/>
          <w:highlight w:val="white"/>
        </w:rPr>
        <w:t xml:space="preserve">(Два миллиона триста семьдесят четыре </w:t>
      </w:r>
      <w:r>
        <w:rPr>
          <w:rFonts w:ascii="Times New Roman" w:hAnsi="Times New Roman"/>
          <w:sz w:val="26"/>
          <w:szCs w:val="26"/>
          <w:highlight w:val="white"/>
        </w:rPr>
        <w:t xml:space="preserve">тысячи</w:t>
      </w:r>
      <w:r>
        <w:rPr>
          <w:rFonts w:ascii="Times New Roman" w:hAnsi="Times New Roman"/>
          <w:sz w:val="26"/>
          <w:szCs w:val="26"/>
          <w:highlight w:val="white"/>
        </w:rPr>
        <w:t xml:space="preserve">) рублей;</w:t>
      </w:r>
      <w:r>
        <w:rPr>
          <w:highlight w:val="whit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шаг аукциона: 71 220</w:t>
      </w:r>
      <w:r>
        <w:rPr>
          <w:rFonts w:ascii="Times New Roman" w:hAnsi="Times New Roman"/>
          <w:sz w:val="26"/>
          <w:szCs w:val="26"/>
          <w:highlight w:val="white"/>
        </w:rPr>
        <w:t xml:space="preserve"> Семьдесят одна </w:t>
      </w:r>
      <w:r>
        <w:rPr>
          <w:rFonts w:ascii="Times New Roman" w:hAnsi="Times New Roman"/>
          <w:sz w:val="26"/>
          <w:szCs w:val="26"/>
          <w:highlight w:val="white"/>
        </w:rPr>
        <w:t xml:space="preserve"> тысяча двести двадцать</w:t>
      </w:r>
      <w:r>
        <w:rPr>
          <w:rFonts w:ascii="Times New Roman" w:hAnsi="Times New Roman"/>
          <w:sz w:val="26"/>
          <w:szCs w:val="26"/>
          <w:highlight w:val="white"/>
        </w:rPr>
        <w:t xml:space="preserve">) рублей;</w:t>
      </w:r>
      <w:r>
        <w:rPr>
          <w:highlight w:val="whit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размер задатка: </w:t>
      </w:r>
      <w:r>
        <w:rPr>
          <w:rFonts w:ascii="Times New Roman" w:hAnsi="Times New Roman"/>
          <w:sz w:val="26"/>
          <w:szCs w:val="26"/>
          <w:highlight w:val="white"/>
        </w:rPr>
        <w:t xml:space="preserve">593 500 </w:t>
      </w:r>
      <w:r>
        <w:rPr>
          <w:rFonts w:ascii="Times New Roman" w:hAnsi="Times New Roman"/>
          <w:sz w:val="26"/>
          <w:szCs w:val="26"/>
          <w:highlight w:val="white"/>
        </w:rPr>
        <w:t xml:space="preserve">(Пятьсот девяносто три </w:t>
      </w:r>
      <w:r>
        <w:rPr>
          <w:rFonts w:ascii="Times New Roman" w:hAnsi="Times New Roman"/>
          <w:sz w:val="26"/>
          <w:szCs w:val="26"/>
          <w:highlight w:val="white"/>
        </w:rPr>
        <w:t xml:space="preserve">тысячи пятьсот</w:t>
      </w:r>
      <w:r>
        <w:rPr>
          <w:rFonts w:ascii="Times New Roman" w:hAnsi="Times New Roman"/>
          <w:sz w:val="26"/>
          <w:szCs w:val="26"/>
          <w:highlight w:val="white"/>
        </w:rPr>
        <w:t xml:space="preserve">)</w:t>
      </w:r>
      <w:r>
        <w:rPr>
          <w:rFonts w:ascii="Times New Roman" w:hAnsi="Times New Roman"/>
          <w:sz w:val="26"/>
          <w:szCs w:val="26"/>
          <w:highlight w:val="white"/>
        </w:rPr>
        <w:t xml:space="preserve"> рубл</w:t>
      </w:r>
      <w:r>
        <w:rPr>
          <w:rFonts w:ascii="Times New Roman" w:hAnsi="Times New Roman"/>
          <w:sz w:val="26"/>
          <w:szCs w:val="26"/>
          <w:highlight w:val="white"/>
        </w:rPr>
        <w:t xml:space="preserve">ей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33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</w:t>
      </w:r>
      <w:r>
        <w:rPr>
          <w:rFonts w:ascii="Times New Roman" w:hAnsi="Times New Roman"/>
          <w:sz w:val="26"/>
          <w:szCs w:val="26"/>
        </w:rPr>
        <w:t xml:space="preserve">ителя.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72"/>
        <w:ind w:firstLine="709"/>
        <w:jc w:val="both"/>
        <w:rPr>
          <w:rFonts w:ascii="Times New Roman" w:hAnsi="Times New Roman" w:eastAsia="Calibri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26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апреля 2024 года с 10 час 00 мин. по местному времени.</w:t>
      </w:r>
      <w:r>
        <w:rPr>
          <w:highlight w:val="white"/>
        </w:rPr>
      </w:r>
      <w:r/>
    </w:p>
    <w:p>
      <w:pPr>
        <w:pStyle w:val="772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3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июня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highlight w:val="white"/>
        </w:rPr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33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3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</w:t>
      </w:r>
      <w:r>
        <w:rPr>
          <w:rFonts w:ascii="Times New Roman" w:hAnsi="Times New Roman"/>
          <w:sz w:val="26"/>
          <w:szCs w:val="26"/>
          <w:lang w:eastAsia="en-US"/>
        </w:rPr>
        <w:t xml:space="preserve">ля участия в аукционе в электронной форме</w:t>
      </w:r>
      <w:r>
        <w:rPr>
          <w:rFonts w:ascii="Times New Roman" w:hAnsi="Times New Roman"/>
          <w:sz w:val="26"/>
          <w:szCs w:val="26"/>
          <w:lang w:eastAsia="en-US"/>
        </w:rPr>
        <w:t xml:space="preserve"> установлено требование о внесении задатка. В целях исполнения данного требования Заявитель обеспечивает наличие денежных средств на счёте Оператора электронной площадки в размере, не менее суммы задатка, установленного в настоящей аукционной документации.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</w:t>
      </w:r>
      <w:r>
        <w:rPr>
          <w:rFonts w:ascii="Times New Roman" w:hAnsi="Times New Roman"/>
          <w:sz w:val="26"/>
          <w:szCs w:val="26"/>
          <w:lang w:eastAsia="en-US"/>
        </w:rPr>
        <w:t xml:space="preserve">числение денежных средств на счёт Оператора электронной площадки производится </w:t>
      </w:r>
      <w:r>
        <w:rPr>
          <w:rFonts w:ascii="Times New Roman" w:hAnsi="Times New Roman"/>
          <w:sz w:val="26"/>
          <w:szCs w:val="26"/>
          <w:lang w:eastAsia="en-US"/>
        </w:rPr>
        <w:t xml:space="preserve">в срок до даты рассмотрения заявок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(не позднее: </w:t>
      </w:r>
      <w:r>
        <w:rPr>
          <w:rFonts w:ascii="Times New Roman" w:hAnsi="Times New Roman"/>
          <w:b/>
          <w:bCs/>
          <w:sz w:val="26"/>
          <w:szCs w:val="26"/>
          <w:highlight w:val="none"/>
          <w:shd w:val="clear" w:color="auto" w:fill="ffffff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июня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</w:t>
      </w:r>
      <w:r>
        <w:rPr>
          <w:rFonts w:ascii="Times New Roman" w:hAnsi="Times New Roman"/>
          <w:sz w:val="26"/>
          <w:szCs w:val="26"/>
          <w:lang w:eastAsia="en-US"/>
        </w:rPr>
        <w:t xml:space="preserve"> в соответствии с Регламентом Оператора электронной площадки, размещенными на электронной площадке по следующим реквизитам: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Получатель платежа: ООО «РТС-тендер»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Банковские реквизиты: Филиал «Корпоративный» ПАО «</w:t>
      </w:r>
      <w:r>
        <w:rPr>
          <w:rFonts w:ascii="Times New Roman" w:hAnsi="Times New Roman"/>
          <w:sz w:val="26"/>
          <w:szCs w:val="26"/>
          <w:lang w:eastAsia="en-US"/>
        </w:rPr>
        <w:t xml:space="preserve">Совкомбанк</w:t>
      </w:r>
      <w:r>
        <w:rPr>
          <w:rFonts w:ascii="Times New Roman" w:hAnsi="Times New Roman"/>
          <w:sz w:val="26"/>
          <w:szCs w:val="26"/>
          <w:lang w:eastAsia="en-US"/>
        </w:rPr>
        <w:t xml:space="preserve">»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БИК 044525360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Расчётный счёт: 40702810512030016362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Корр. счёт 30101810445250000360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ИНН 7710357167 КПП 773001001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счета, без НДС».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средства, перечисленные в соответствии с Регламентом Оператора электронной площадки, размещенными на электронной площадке на счет Оператора электронной площадки, учитываются на счете Заявителя, открытом у Оператора электронной площадки.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Денежные средства в размере, равном задатку, блокируются Оператором электронной площадки на счете Заявителя в соответствии с Регл</w:t>
      </w:r>
      <w:r>
        <w:rPr>
          <w:rFonts w:ascii="Times New Roman" w:hAnsi="Times New Roman"/>
          <w:sz w:val="26"/>
          <w:szCs w:val="26"/>
          <w:lang w:eastAsia="en-US"/>
        </w:rPr>
        <w:t xml:space="preserve">аментом Оператора электронной площадки, размещенными на электронной площадке.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Подача Заявки и блокирование задатка является заключением соглашения о задатке.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 если денежных средств на счете Заявителя недостаточно, Оператором электронной площадки Заявка не принимается.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Прекращение блокирования денежных средств на счете Заявителя в соответствии с Регламентом Оператора электронной площадки, размещенными на электронной площадке производится Оператором электронной площадки в следующем порядке:</w:t>
      </w:r>
      <w:r>
        <w:rPr>
          <w:rFonts w:ascii="Times New Roman" w:hAnsi="Times New Roman"/>
          <w:sz w:val="26"/>
          <w:szCs w:val="26"/>
          <w:highlight w:val="none"/>
          <w:lang w:eastAsia="en-US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для Заявителя, отозвавшего Заявку до окончания срока приема Заявок, - в течение 3 (трех) рабочих дней со дня поступления уведомления об отзыве Заявки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для Заявителя, не допущенного к участи</w:t>
      </w:r>
      <w:r>
        <w:rPr>
          <w:rFonts w:ascii="Times New Roman" w:hAnsi="Times New Roman"/>
          <w:sz w:val="26"/>
          <w:szCs w:val="26"/>
          <w:lang w:eastAsia="en-US"/>
        </w:rPr>
        <w:t xml:space="preserve">ю в аукционе в электронной форме, - в течение 3 (трех) рабочих дней со дня оформления Протокола рассмотрения заявок на участие в аукционе в электронной форме в соответствии с Регламентом Оператора электронной площадки, размещенными на электронной площадке;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  <w:lang w:eastAsia="en-US"/>
        </w:rPr>
        <w:tab/>
        <w:t xml:space="preserve">для Участников, участвовавших в а</w:t>
      </w:r>
      <w:r>
        <w:rPr>
          <w:rFonts w:ascii="Times New Roman" w:hAnsi="Times New Roman"/>
          <w:sz w:val="26"/>
          <w:szCs w:val="26"/>
          <w:lang w:eastAsia="en-US"/>
        </w:rPr>
        <w:t xml:space="preserve">укционе в электронной форме, но не победивших в нем, - в течение 3 (трех) рабочих дней со дня подписания Протокола о результатах аукциона в электронной форме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Задаток Победителя аукциона в электронной форме, а также задаток иных лиц, с которым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 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оплаты</w:t>
      </w:r>
      <w:r>
        <w:rPr>
          <w:rFonts w:ascii="Times New Roman" w:hAnsi="Times New Roman"/>
          <w:sz w:val="26"/>
          <w:szCs w:val="26"/>
          <w:lang w:eastAsia="en-US"/>
        </w:rPr>
        <w:t xml:space="preserve"> за земельный участок. Перечисление задатка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Продавцу</w:t>
      </w:r>
      <w:r>
        <w:rPr>
          <w:rFonts w:ascii="Times New Roman" w:hAnsi="Times New Roman"/>
          <w:sz w:val="26"/>
          <w:szCs w:val="26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Оператора электронной площадки, размещенными на электронной площадке.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Задатки лицам, участвовавшим в аукционе, но не победившим в нем, Оператор электронной площадки в течение трех рабочих дней со дня подписания протокола о результатах аукциона обязан возвратить.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33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июня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33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33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/>
    </w:p>
    <w:p>
      <w:pPr>
        <w:pStyle w:val="705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5 июня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купли - продажи земельного участка, засчитывается в оплату приобретаемого земельного участка.   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купли - продажи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/>
    </w:p>
    <w:p>
      <w:pPr>
        <w:pStyle w:val="70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</w:t>
      </w:r>
      <w:r>
        <w:rPr>
          <w:rFonts w:ascii="Times New Roman" w:hAnsi="Times New Roman"/>
          <w:sz w:val="26"/>
          <w:szCs w:val="26"/>
        </w:rPr>
        <w:t xml:space="preserve">ом 14, направляет победителю электронного аукциона или иным лицам, с которыми в соответствии с пунктами 13, 14, 20 и 25 статьи 39.12 Кодекса заключается договор купли - продажи земельного участка, подписанный проект договора купли – продажи такого участка.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Договор купли - продажи земельного участка заключается в электронной форме и подписывается усиленной квалифицированной электронной подписью сторон такого дого</w:t>
      </w:r>
      <w:r>
        <w:rPr>
          <w:rFonts w:ascii="Times New Roman" w:hAnsi="Times New Roman"/>
          <w:sz w:val="26"/>
          <w:szCs w:val="26"/>
        </w:rPr>
        <w:t xml:space="preserve">вора.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Победитель аукциона в электронной форме или иное лицо, с которым заключается договор </w:t>
      </w:r>
      <w:r>
        <w:rPr>
          <w:rFonts w:ascii="Times New Roman" w:hAnsi="Times New Roman"/>
          <w:sz w:val="26"/>
          <w:szCs w:val="26"/>
          <w:lang w:eastAsia="en-US"/>
        </w:rPr>
        <w:t xml:space="preserve">купли-продажи</w:t>
      </w:r>
      <w:r>
        <w:rPr>
          <w:rFonts w:ascii="Times New Roman" w:hAnsi="Times New Roman"/>
          <w:sz w:val="26"/>
          <w:szCs w:val="26"/>
          <w:lang w:eastAsia="en-US"/>
        </w:rPr>
        <w:t xml:space="preserve"> земельного участка в соответствии с Кодексом, обязаны подписать договор в течение 30 (тридцати) дней со дня направления им такого договора.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Если договор в течение 30 (тридцати) дней со дня направления проекта договора Победителю аукциона в </w:t>
      </w:r>
      <w:r>
        <w:rPr>
          <w:rFonts w:ascii="Times New Roman" w:hAnsi="Times New Roman"/>
          <w:sz w:val="26"/>
          <w:szCs w:val="26"/>
          <w:lang w:eastAsia="en-US"/>
        </w:rPr>
        <w:t xml:space="preserve">электронной форме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Победитель аукциона в электронной форме или иное лицо, с которым заключается договор в соответствии с пунктами Извещения, в течение 30 (тридца</w:t>
      </w:r>
      <w:r>
        <w:rPr>
          <w:rFonts w:ascii="Times New Roman" w:hAnsi="Times New Roman"/>
          <w:sz w:val="26"/>
          <w:szCs w:val="26"/>
          <w:lang w:eastAsia="en-US"/>
        </w:rPr>
        <w:t xml:space="preserve">ти) дней со дня направления продавцом проекта указанного договора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этот Участник не представил продавцу подписанный со своей стороны указанный договор</w:t>
      </w:r>
      <w:r>
        <w:rPr>
          <w:rFonts w:ascii="Times New Roman" w:hAnsi="Times New Roman"/>
          <w:sz w:val="26"/>
          <w:szCs w:val="26"/>
          <w:lang w:eastAsia="en-US"/>
        </w:rPr>
        <w:t xml:space="preserve">, ,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продавец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</w:t>
      </w:r>
      <w:r>
        <w:rPr>
          <w:rFonts w:ascii="Times New Roman" w:hAnsi="Times New Roman"/>
          <w:sz w:val="26"/>
          <w:szCs w:val="26"/>
        </w:rPr>
        <w:t xml:space="preserve">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17. </w:t>
      </w:r>
      <w:r>
        <w:rPr>
          <w:rFonts w:ascii="Times New Roman" w:hAnsi="Times New Roman"/>
          <w:sz w:val="26"/>
          <w:szCs w:val="26"/>
          <w:lang w:eastAsia="en-US"/>
        </w:rPr>
        <w:t xml:space="preserve">Отказ от проведения аукциона: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Уполномоченный орган может приня</w:t>
      </w:r>
      <w:r>
        <w:rPr>
          <w:rFonts w:ascii="Times New Roman" w:hAnsi="Times New Roman"/>
          <w:sz w:val="26"/>
          <w:szCs w:val="26"/>
          <w:lang w:eastAsia="en-US"/>
        </w:rPr>
        <w:t xml:space="preserve">ть решение об отказе в проведении аукциона в случае выявления обстоятельств, предусмотренных п. 8 ст. 39.11 Кодекса. Извещение об отказе в проведении аукциона размещается на официальном сайте в течение 3-х дней со дня принятия данного решения.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br w:type="page" w:clear="all"/>
      </w:r>
      <w:r/>
    </w:p>
    <w:p>
      <w:pPr>
        <w:pStyle w:val="705"/>
        <w:ind w:firstLine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1</w:t>
      </w:r>
      <w:r/>
    </w:p>
    <w:p>
      <w:pPr>
        <w:pStyle w:val="705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</w:pPr>
      <w:r>
        <w:rPr>
          <w:b/>
          <w:lang w:eastAsia="zh-CN"/>
        </w:rPr>
        <w:t xml:space="preserve">ЗАЯВКА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pBdr>
          <w:bottom w:val="single" w:color="000000" w:sz="4" w:space="0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jc w:val="center"/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гражданина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>
        <w:trPr>
          <w:trHeight w:val="1410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№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КПП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ОГРН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Bdr>
                <w:bottom w:val="single" w:color="000000" w:sz="4" w:space="0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b/>
                <w:sz w:val="18"/>
                <w:szCs w:val="18"/>
                <w:vertAlign w:val="superscript"/>
                <w:lang w:eastAsia="zh-CN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ind w:hanging="1"/>
        <w:jc w:val="both"/>
        <w:widowControl w:val="off"/>
      </w:pPr>
      <w:r>
        <w:rPr>
          <w:sz w:val="18"/>
          <w:szCs w:val="18"/>
          <w:lang w:eastAsia="zh-CN"/>
        </w:rPr>
        <w:tab/>
      </w:r>
      <w:r>
        <w:rPr>
          <w:b/>
          <w:sz w:val="18"/>
          <w:szCs w:val="18"/>
          <w:lang w:eastAsia="zh-CN"/>
        </w:rPr>
        <w:t xml:space="preserve">принял решение об участии в аукционе по продаже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Cs/>
          <w:lang w:eastAsia="zh-CN"/>
        </w:rPr>
      </w:r>
      <w:r/>
    </w:p>
    <w:p>
      <w:pPr>
        <w:ind w:hanging="1"/>
        <w:jc w:val="both"/>
        <w:widowControl w:val="off"/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.</w:t>
      </w:r>
      <w:r>
        <w:rPr>
          <w:b/>
          <w:sz w:val="18"/>
          <w:szCs w:val="18"/>
          <w:lang w:eastAsia="zh-CN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sz w:val="18"/>
          <w:szCs w:val="18"/>
          <w:vertAlign w:val="superscript"/>
          <w:lang w:eastAsia="zh-CN"/>
        </w:rPr>
        <w:footnoteReference w:id="3"/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sz w:val="17"/>
          <w:szCs w:val="17"/>
          <w:vertAlign w:val="superscript"/>
          <w:lang w:eastAsia="zh-CN"/>
        </w:rPr>
        <w:footnoteReference w:id="4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8"/>
        </w:numPr>
        <w:ind w:left="142" w:hanging="142"/>
        <w:jc w:val="both"/>
        <w:tabs>
          <w:tab w:val="num" w:pos="142" w:leader="none"/>
        </w:tabs>
      </w:pPr>
      <w:r>
        <w:rPr>
          <w:sz w:val="18"/>
          <w:szCs w:val="18"/>
          <w:lang w:eastAsia="zh-CN"/>
        </w:rPr>
        <w:t xml:space="preserve">Заявитель осведомлен и согласен с тем, что Продавец/Организатор аукциона в электронной форме не несут ответственности за ущерб, который может быть причинен Заявителю отменой аукциона в эле</w:t>
      </w:r>
      <w:r>
        <w:rPr>
          <w:sz w:val="18"/>
          <w:szCs w:val="18"/>
          <w:lang w:eastAsia="zh-CN"/>
        </w:rPr>
        <w:t xml:space="preserve">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</w:t>
      </w:r>
      <w:r>
        <w:rPr>
          <w:sz w:val="18"/>
          <w:szCs w:val="18"/>
          <w:lang w:eastAsia="zh-CN"/>
        </w:rPr>
        <w:t xml:space="preserve">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</w:t>
      </w:r>
      <w:r>
        <w:rPr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ind w:left="142" w:hanging="142"/>
        <w:jc w:val="both"/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spacing w:after="160" w:line="259" w:lineRule="auto"/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spacing w:after="160" w:line="259" w:lineRule="auto"/>
        <w:rPr>
          <w:b/>
          <w:sz w:val="18"/>
          <w:szCs w:val="1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905"/>
        <w:tblW w:w="5000" w:type="pct"/>
        <w:tblBorders>
          <w:insideH w:val="none" w:color="000000" w:sz="0" w:space="0"/>
          <w:insideV w:val="none" w:color="000000" w:sz="0" w:space="0"/>
        </w:tblBorders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45"/>
      </w:tblGrid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spacing w:before="120"/>
              <w:rPr>
                <w:bCs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электронной подписи</w:t>
            </w: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sz w:val="16"/>
                <w:szCs w:val="16"/>
                <w:lang w:eastAsia="zh-CN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 xml:space="preserve"> Документ</w:instrText>
            </w:r>
            <w:r>
              <w:rPr>
                <w:sz w:val="16"/>
                <w:szCs w:val="16"/>
                <w:lang w:eastAsia="zh-CN"/>
              </w:rPr>
              <w:instrText xml:space="preserve">_</w:instrText>
            </w:r>
            <w:r>
              <w:rPr>
                <w:sz w:val="16"/>
                <w:szCs w:val="16"/>
                <w:lang w:eastAsia="zh-CN"/>
              </w:rPr>
              <w:instrText xml:space="preserve">ЭлПодпись_Организация_Участник 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bCs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сертификата</w:t>
            </w:r>
            <w:r>
              <w:rPr>
                <w:b/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</w:tbl>
    <w:p>
      <w:pPr>
        <w:pStyle w:val="705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5"/>
        <w:rPr>
          <w:sz w:val="20"/>
          <w:szCs w:val="20"/>
        </w:rPr>
      </w:pPr>
      <w:r>
        <w:rPr>
          <w:sz w:val="20"/>
          <w:szCs w:val="20"/>
        </w:rPr>
      </w:r>
      <w:r>
        <w:br w:type="page" w:clear="all"/>
      </w:r>
      <w:r/>
    </w:p>
    <w:p>
      <w:pPr>
        <w:pStyle w:val="705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ДОГОВОР № ___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купли-продажи земельного участка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город Кострома                                                                               ______________ года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Управление имущественных и земельных отношений Администрации города Костромы, в лице ______________________________, действующего</w:t>
      </w:r>
      <w:r>
        <w:rPr>
          <w:rFonts w:ascii="Times New Roman" w:hAnsi="Times New Roman" w:cs="Times New Roman"/>
          <w:color w:val="000000"/>
        </w:rPr>
        <w:t xml:space="preserve">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</w:t>
      </w:r>
      <w:r>
        <w:rPr>
          <w:rFonts w:ascii="Times New Roman" w:hAnsi="Times New Roman" w:cs="Times New Roman"/>
          <w:color w:val="000000"/>
        </w:rPr>
        <w:t xml:space="preserve">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1. Предмет договора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1.1. Продавец обязуется передать в собственность Покупателя земельный участок площадью _______ м</w:t>
      </w:r>
      <w:r>
        <w:rPr>
          <w:rFonts w:ascii="Times New Roman" w:hAnsi="Times New Roman" w:cs="Times New Roman"/>
          <w:color w:val="000000"/>
          <w:vertAlign w:val="superscript"/>
        </w:rPr>
        <w:t xml:space="preserve">2</w:t>
      </w:r>
      <w:r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r>
        <w:rPr>
          <w:rFonts w:ascii="Times New Roman" w:hAnsi="Times New Roman" w:cs="Times New Roman"/>
          <w:color w:val="000000"/>
        </w:rPr>
        <w:t xml:space="preserve">адресу:_</w:t>
      </w:r>
      <w:r>
        <w:rPr>
          <w:rFonts w:ascii="Times New Roman" w:hAnsi="Times New Roman" w:cs="Times New Roman"/>
          <w:color w:val="000000"/>
        </w:rPr>
        <w:t xml:space="preserve">__________________________________, а Покупатель обязуется принять земельный участок и уплатить за него определенную настоящим договором цену.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r>
        <w:rPr>
          <w:rFonts w:ascii="Times New Roman" w:hAnsi="Times New Roman" w:cs="Times New Roman"/>
          <w:color w:val="000000"/>
        </w:rPr>
        <w:t xml:space="preserve">Росреестра</w:t>
      </w:r>
      <w:r>
        <w:rPr>
          <w:rFonts w:ascii="Times New Roman" w:hAnsi="Times New Roman" w:cs="Times New Roman"/>
          <w:color w:val="000000"/>
        </w:rPr>
        <w:t xml:space="preserve">» по Костромской области.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2. Цена договора и порядок оплаты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>
        <w:rPr>
          <w:rFonts w:ascii="Times New Roman" w:hAnsi="Times New Roman" w:cs="Times New Roman"/>
          <w:color w:val="000000"/>
        </w:rPr>
        <w:t xml:space="preserve">Получатель УФК по Костромской области (Управление имущественных и земельных отношений Администрации города Костромы), ИНН 440</w:t>
      </w:r>
      <w:r>
        <w:rPr>
          <w:rFonts w:ascii="Times New Roman" w:hAnsi="Times New Roman" w:cs="Times New Roman"/>
          <w:color w:val="000000"/>
        </w:rPr>
        <w:t xml:space="preserve">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>
        <w:rPr>
          <w:rFonts w:ascii="Times New Roman" w:hAnsi="Times New Roman" w:cs="Times New Roman"/>
          <w:color w:val="000000"/>
        </w:rPr>
        <w:t xml:space="preserve">, назначение платежа: за земельный участок по договору купли-продажи от ___________  № ____.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Перечисленный Продавцу задаток за участие в аукционе по продаже земельного участка в сумме </w:t>
      </w:r>
      <w:r>
        <w:rPr>
          <w:rFonts w:ascii="Times New Roman" w:hAnsi="Times New Roman" w:cs="Times New Roman"/>
          <w:color w:val="000000"/>
        </w:rPr>
        <w:t xml:space="preserve">_________</w:t>
      </w:r>
      <w:r>
        <w:rPr>
          <w:rFonts w:ascii="Times New Roman" w:hAnsi="Times New Roman" w:cs="Times New Roman"/>
          <w:color w:val="000000"/>
        </w:rPr>
        <w:t xml:space="preserve">рублей зачисляется в счет платежа по настоящему договору за земельный участок.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2.3. Факт перечисления денежных средств, указанн</w:t>
      </w:r>
      <w:r>
        <w:rPr>
          <w:rFonts w:ascii="Times New Roman" w:hAnsi="Times New Roman" w:cs="Times New Roman"/>
          <w:color w:val="000000"/>
        </w:rPr>
        <w:t xml:space="preserve">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2.4. Обяз</w:t>
      </w:r>
      <w:r>
        <w:rPr>
          <w:rFonts w:ascii="Times New Roman" w:hAnsi="Times New Roman" w:cs="Times New Roman"/>
          <w:color w:val="000000"/>
        </w:rPr>
        <w:t xml:space="preserve">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3. Права и обязанности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3.1. Продавец обязан передать земельный участок Покупателю не позднее чем через 5 (пять) дней после дня его полной оплаты. Передача земель</w:t>
      </w:r>
      <w:r>
        <w:rPr>
          <w:rFonts w:ascii="Times New Roman" w:hAnsi="Times New Roman" w:cs="Times New Roman"/>
          <w:color w:val="000000"/>
        </w:rPr>
        <w:t xml:space="preserve">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 Покупатель обязан: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3.2.1. оплатить стоимость земельного участка в размере, сроки и в порядке, установленные настоящим договором;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3.2.2. содержать земельный участок в надлежащем санитарном и техническом состоянии в соответствии с действующим законодательством.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4. Ответственность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</w:t>
      </w:r>
      <w:r>
        <w:rPr>
          <w:rFonts w:ascii="Times New Roman" w:hAnsi="Times New Roman" w:cs="Times New Roman"/>
          <w:color w:val="000000"/>
        </w:rPr>
        <w:t xml:space="preserve">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4.3. Уплата неустойки не освобождает Покупателя от исполнения обязательств по настоящему договору.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5. Возникновение права собственности и действие договора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5.1. Настоящий договор признается заключенным с момента его подписания Сторонами.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6. Расторжение договора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6.1. Настоящий договор может быть расторгнут по основаниям, установленным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6.3. Расторжение настоящего договора не освобождает Покупателя от выплаты неустойки, установленной в пункте 4.2 настоящего договора.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7. Заключительные положения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7.4. Отношения Сторон, не урегулированные настоящим договором, регулируются законодательством Российской Федерации.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8. Юридические адреса и реквизиты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Покупатель: _______________________________________________________________________________ 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9. Подписи Сторон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Продавец: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Покупатель: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spacing w:line="276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</w:tbl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ind w:left="765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  <w:r/>
    </w:p>
    <w:p>
      <w:pPr>
        <w:pStyle w:val="705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jc w:val="both"/>
      </w:pPr>
      <w:r>
        <w:rPr>
          <w:rStyle w:val="742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3">
    <w:p>
      <w:pPr>
        <w:pStyle w:val="776"/>
        <w:contextualSpacing/>
        <w:jc w:val="both"/>
        <w:spacing w:line="216" w:lineRule="auto"/>
        <w:rPr>
          <w:lang w:val="ru-RU"/>
        </w:rPr>
      </w:pPr>
      <w:r>
        <w:rPr>
          <w:rStyle w:val="74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  <w:lang w:val="ru-RU"/>
        </w:rPr>
      </w:r>
      <w:r/>
    </w:p>
  </w:footnote>
  <w:footnote w:id="4">
    <w:p>
      <w:pPr>
        <w:pStyle w:val="776"/>
        <w:contextualSpacing/>
        <w:jc w:val="both"/>
        <w:spacing w:line="216" w:lineRule="auto"/>
        <w:rPr>
          <w:lang w:val="ru-RU"/>
        </w:rPr>
      </w:pPr>
      <w:r>
        <w:rPr>
          <w:rStyle w:val="74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>
        <w:rPr>
          <w:sz w:val="18"/>
          <w:szCs w:val="18"/>
          <w:lang w:val="ru-RU"/>
        </w:rPr>
        <w:t xml:space="preserve"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 xml:space="preserve">.</w:t>
      </w:r>
      <w:r>
        <w:rPr>
          <w:lang w:val="ru-RU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715"/>
    <w:link w:val="706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715"/>
    <w:link w:val="707"/>
    <w:uiPriority w:val="9"/>
    <w:rPr>
      <w:rFonts w:ascii="Arial" w:hAnsi="Arial" w:eastAsia="Arial" w:cs="Arial"/>
      <w:sz w:val="34"/>
    </w:rPr>
  </w:style>
  <w:style w:type="character" w:styleId="692">
    <w:name w:val="Heading 3 Char"/>
    <w:basedOn w:val="715"/>
    <w:link w:val="708"/>
    <w:uiPriority w:val="9"/>
    <w:rPr>
      <w:rFonts w:ascii="Arial" w:hAnsi="Arial" w:eastAsia="Arial" w:cs="Arial"/>
      <w:sz w:val="30"/>
      <w:szCs w:val="30"/>
    </w:rPr>
  </w:style>
  <w:style w:type="character" w:styleId="693">
    <w:name w:val="Heading 4 Char"/>
    <w:basedOn w:val="71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694">
    <w:name w:val="Heading 5 Char"/>
    <w:basedOn w:val="71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695">
    <w:name w:val="Heading 6 Char"/>
    <w:basedOn w:val="71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696">
    <w:name w:val="Heading 7 Char"/>
    <w:basedOn w:val="71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8 Char"/>
    <w:basedOn w:val="715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698">
    <w:name w:val="Heading 9 Char"/>
    <w:basedOn w:val="715"/>
    <w:link w:val="714"/>
    <w:uiPriority w:val="9"/>
    <w:rPr>
      <w:rFonts w:ascii="Arial" w:hAnsi="Arial" w:eastAsia="Arial" w:cs="Arial"/>
      <w:i/>
      <w:iCs/>
      <w:sz w:val="21"/>
      <w:szCs w:val="21"/>
    </w:rPr>
  </w:style>
  <w:style w:type="character" w:styleId="699">
    <w:name w:val="Title Char"/>
    <w:basedOn w:val="715"/>
    <w:link w:val="750"/>
    <w:uiPriority w:val="10"/>
    <w:rPr>
      <w:sz w:val="48"/>
      <w:szCs w:val="48"/>
    </w:rPr>
  </w:style>
  <w:style w:type="character" w:styleId="700">
    <w:name w:val="Subtitle Char"/>
    <w:basedOn w:val="715"/>
    <w:link w:val="751"/>
    <w:uiPriority w:val="11"/>
    <w:rPr>
      <w:sz w:val="24"/>
      <w:szCs w:val="24"/>
    </w:rPr>
  </w:style>
  <w:style w:type="character" w:styleId="701">
    <w:name w:val="Quote Char"/>
    <w:link w:val="752"/>
    <w:uiPriority w:val="29"/>
    <w:rPr>
      <w:i/>
    </w:rPr>
  </w:style>
  <w:style w:type="character" w:styleId="702">
    <w:name w:val="Intense Quote Char"/>
    <w:link w:val="753"/>
    <w:uiPriority w:val="30"/>
    <w:rPr>
      <w:i/>
    </w:rPr>
  </w:style>
  <w:style w:type="character" w:styleId="703">
    <w:name w:val="Endnote Text Char"/>
    <w:link w:val="755"/>
    <w:uiPriority w:val="99"/>
    <w:rPr>
      <w:sz w:val="20"/>
    </w:rPr>
  </w:style>
  <w:style w:type="paragraph" w:styleId="704">
    <w:name w:val="toc 2"/>
    <w:basedOn w:val="705"/>
    <w:next w:val="705"/>
    <w:uiPriority w:val="39"/>
    <w:unhideWhenUsed/>
    <w:pPr>
      <w:ind w:left="283" w:right="0" w:firstLine="0"/>
      <w:spacing w:after="57"/>
    </w:pPr>
  </w:style>
  <w:style w:type="paragraph" w:styleId="705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06">
    <w:name w:val="Heading 1"/>
    <w:basedOn w:val="705"/>
    <w:next w:val="705"/>
    <w:link w:val="7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7">
    <w:name w:val="Heading 2"/>
    <w:basedOn w:val="705"/>
    <w:next w:val="705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8">
    <w:name w:val="Heading 3"/>
    <w:basedOn w:val="705"/>
    <w:next w:val="705"/>
    <w:link w:val="7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9">
    <w:name w:val="Heading 4"/>
    <w:basedOn w:val="705"/>
    <w:next w:val="705"/>
    <w:link w:val="7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1">
    <w:name w:val="Heading 6"/>
    <w:basedOn w:val="705"/>
    <w:next w:val="705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705"/>
    <w:next w:val="705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705"/>
    <w:next w:val="705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705"/>
    <w:next w:val="705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  <w:qFormat/>
  </w:style>
  <w:style w:type="character" w:styleId="716" w:customStyle="1">
    <w:name w:val="Заголовок 2 Знак"/>
    <w:basedOn w:val="715"/>
    <w:uiPriority w:val="9"/>
    <w:qFormat/>
    <w:rPr>
      <w:rFonts w:ascii="Arial" w:hAnsi="Arial" w:eastAsia="Arial" w:cs="Arial"/>
      <w:sz w:val="34"/>
    </w:rPr>
  </w:style>
  <w:style w:type="character" w:styleId="717" w:customStyle="1">
    <w:name w:val="Заголовок 6 Знак"/>
    <w:basedOn w:val="71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Заголовок 7 Знак"/>
    <w:basedOn w:val="71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1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Заголовок 9 Знак"/>
    <w:basedOn w:val="71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Заголовок Знак"/>
    <w:basedOn w:val="715"/>
    <w:uiPriority w:val="10"/>
    <w:qFormat/>
    <w:rPr>
      <w:sz w:val="48"/>
      <w:szCs w:val="48"/>
    </w:rPr>
  </w:style>
  <w:style w:type="character" w:styleId="722" w:customStyle="1">
    <w:name w:val="Подзаголовок Знак"/>
    <w:basedOn w:val="715"/>
    <w:uiPriority w:val="11"/>
    <w:qFormat/>
    <w:rPr>
      <w:sz w:val="24"/>
      <w:szCs w:val="24"/>
    </w:rPr>
  </w:style>
  <w:style w:type="character" w:styleId="723" w:customStyle="1">
    <w:name w:val="Цитата 2 Знак"/>
    <w:link w:val="752"/>
    <w:uiPriority w:val="29"/>
    <w:qFormat/>
    <w:rPr>
      <w:i/>
    </w:rPr>
  </w:style>
  <w:style w:type="character" w:styleId="724" w:customStyle="1">
    <w:name w:val="Выделенная цитата Знак"/>
    <w:link w:val="753"/>
    <w:uiPriority w:val="30"/>
    <w:qFormat/>
    <w:rPr>
      <w:i/>
    </w:rPr>
  </w:style>
  <w:style w:type="character" w:styleId="725" w:customStyle="1">
    <w:name w:val="Header Char"/>
    <w:basedOn w:val="715"/>
    <w:uiPriority w:val="99"/>
    <w:qFormat/>
  </w:style>
  <w:style w:type="character" w:styleId="726" w:customStyle="1">
    <w:name w:val="Footer Char"/>
    <w:basedOn w:val="715"/>
    <w:uiPriority w:val="99"/>
    <w:qFormat/>
  </w:style>
  <w:style w:type="character" w:styleId="727" w:customStyle="1">
    <w:name w:val="Caption Char"/>
    <w:uiPriority w:val="99"/>
    <w:qFormat/>
  </w:style>
  <w:style w:type="character" w:styleId="728" w:customStyle="1">
    <w:name w:val="Footnote Text Char"/>
    <w:uiPriority w:val="99"/>
    <w:qFormat/>
    <w:rPr>
      <w:sz w:val="18"/>
    </w:rPr>
  </w:style>
  <w:style w:type="character" w:styleId="729" w:customStyle="1">
    <w:name w:val="Текст концевой сноски Знак"/>
    <w:uiPriority w:val="99"/>
    <w:qFormat/>
    <w:rPr>
      <w:sz w:val="20"/>
    </w:rPr>
  </w:style>
  <w:style w:type="character" w:styleId="730">
    <w:name w:val="Символ концевой сноски"/>
    <w:basedOn w:val="715"/>
    <w:uiPriority w:val="99"/>
    <w:semiHidden/>
    <w:unhideWhenUsed/>
    <w:qFormat/>
    <w:rPr>
      <w:vertAlign w:val="superscript"/>
    </w:rPr>
  </w:style>
  <w:style w:type="character" w:styleId="731">
    <w:name w:val="endnote reference"/>
    <w:rPr>
      <w:vertAlign w:val="superscript"/>
    </w:rPr>
  </w:style>
  <w:style w:type="character" w:styleId="732">
    <w:name w:val="FollowedHyperlink"/>
    <w:basedOn w:val="715"/>
    <w:uiPriority w:val="99"/>
    <w:unhideWhenUsed/>
    <w:qFormat/>
    <w:rPr>
      <w:color w:val="800080"/>
      <w:u w:val="single"/>
    </w:rPr>
  </w:style>
  <w:style w:type="character" w:styleId="733">
    <w:name w:val="Hyperlink"/>
    <w:basedOn w:val="715"/>
    <w:uiPriority w:val="99"/>
    <w:unhideWhenUsed/>
    <w:qFormat/>
    <w:rPr>
      <w:color w:val="0000ff"/>
      <w:u w:val="single"/>
    </w:rPr>
  </w:style>
  <w:style w:type="character" w:styleId="734">
    <w:name w:val="Strong"/>
    <w:basedOn w:val="715"/>
    <w:qFormat/>
    <w:rPr>
      <w:rFonts w:cs="Times New Roman"/>
      <w:b/>
      <w:bCs/>
    </w:rPr>
  </w:style>
  <w:style w:type="character" w:styleId="735" w:customStyle="1">
    <w:name w:val="Верхний колонтитул Знак"/>
    <w:basedOn w:val="715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6" w:customStyle="1">
    <w:name w:val="Нижний колонтитул Знак"/>
    <w:basedOn w:val="715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7" w:customStyle="1">
    <w:name w:val="10"/>
    <w:basedOn w:val="715"/>
    <w:qFormat/>
    <w:rPr>
      <w:rFonts w:ascii="Times New Roman" w:hAnsi="Times New Roman" w:cs="Times New Roman"/>
    </w:rPr>
  </w:style>
  <w:style w:type="character" w:styleId="738" w:customStyle="1">
    <w:name w:val="15"/>
    <w:basedOn w:val="715"/>
    <w:qFormat/>
    <w:rPr>
      <w:rFonts w:ascii="Times New Roman" w:hAnsi="Times New Roman" w:cs="Times New Roman"/>
      <w:color w:val="0000ff"/>
      <w:u w:val="single"/>
    </w:rPr>
  </w:style>
  <w:style w:type="character" w:styleId="739" w:customStyle="1">
    <w:name w:val="16"/>
    <w:basedOn w:val="715"/>
    <w:qFormat/>
    <w:rPr>
      <w:rFonts w:ascii="Times New Roman" w:hAnsi="Times New Roman" w:cs="Times New Roman"/>
    </w:rPr>
  </w:style>
  <w:style w:type="character" w:styleId="740" w:customStyle="1">
    <w:name w:val="rts-text"/>
    <w:basedOn w:val="715"/>
    <w:qFormat/>
  </w:style>
  <w:style w:type="character" w:styleId="741">
    <w:name w:val="Символ сноски"/>
    <w:qFormat/>
    <w:rPr>
      <w:vertAlign w:val="superscript"/>
    </w:rPr>
  </w:style>
  <w:style w:type="character" w:styleId="742">
    <w:name w:val="footnote reference"/>
    <w:rPr>
      <w:vertAlign w:val="superscript"/>
    </w:rPr>
  </w:style>
  <w:style w:type="character" w:styleId="743" w:customStyle="1">
    <w:name w:val="Текст сноски Знак"/>
    <w:basedOn w:val="715"/>
    <w:qFormat/>
    <w:rPr>
      <w:rFonts w:ascii="Times New Roman" w:hAnsi="Times New Roman" w:eastAsia="Times New Roman" w:cs="Times New Roman"/>
      <w:lang w:eastAsia="zh-CN"/>
    </w:rPr>
  </w:style>
  <w:style w:type="character" w:styleId="744" w:customStyle="1">
    <w:name w:val="Текст выноски Знак"/>
    <w:basedOn w:val="715"/>
    <w:link w:val="777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45">
    <w:name w:val="Заголовок"/>
    <w:basedOn w:val="705"/>
    <w:next w:val="74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46">
    <w:name w:val="Body Text"/>
    <w:basedOn w:val="705"/>
    <w:pPr>
      <w:spacing w:before="0" w:after="140" w:line="276" w:lineRule="auto"/>
    </w:pPr>
  </w:style>
  <w:style w:type="paragraph" w:styleId="747">
    <w:name w:val="List"/>
    <w:basedOn w:val="746"/>
    <w:rPr>
      <w:rFonts w:cs="Mangal"/>
    </w:rPr>
  </w:style>
  <w:style w:type="paragraph" w:styleId="748">
    <w:name w:val="Caption"/>
    <w:basedOn w:val="705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49">
    <w:name w:val="Указатель"/>
    <w:basedOn w:val="705"/>
    <w:qFormat/>
    <w:pPr>
      <w:suppressLineNumbers/>
    </w:pPr>
    <w:rPr>
      <w:rFonts w:cs="Mangal"/>
    </w:rPr>
  </w:style>
  <w:style w:type="paragraph" w:styleId="750">
    <w:name w:val="Title"/>
    <w:basedOn w:val="705"/>
    <w:next w:val="705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1">
    <w:name w:val="Subtitle"/>
    <w:basedOn w:val="705"/>
    <w:next w:val="705"/>
    <w:link w:val="722"/>
    <w:uiPriority w:val="11"/>
    <w:qFormat/>
    <w:pPr>
      <w:spacing w:before="200" w:after="200"/>
    </w:pPr>
  </w:style>
  <w:style w:type="paragraph" w:styleId="752">
    <w:name w:val="Quote"/>
    <w:basedOn w:val="705"/>
    <w:next w:val="705"/>
    <w:link w:val="723"/>
    <w:uiPriority w:val="29"/>
    <w:qFormat/>
    <w:pPr>
      <w:ind w:left="720" w:right="720" w:firstLine="0"/>
    </w:pPr>
    <w:rPr>
      <w:i/>
    </w:rPr>
  </w:style>
  <w:style w:type="paragraph" w:styleId="753">
    <w:name w:val="Intense Quote"/>
    <w:basedOn w:val="705"/>
    <w:next w:val="705"/>
    <w:link w:val="724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4">
    <w:name w:val="Caption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55">
    <w:name w:val="endnote text"/>
    <w:basedOn w:val="705"/>
    <w:link w:val="729"/>
    <w:uiPriority w:val="99"/>
    <w:semiHidden/>
    <w:unhideWhenUsed/>
    <w:rPr>
      <w:sz w:val="20"/>
    </w:rPr>
  </w:style>
  <w:style w:type="paragraph" w:styleId="756">
    <w:name w:val="toc 1"/>
    <w:basedOn w:val="705"/>
    <w:next w:val="705"/>
    <w:uiPriority w:val="39"/>
    <w:unhideWhenUsed/>
    <w:pPr>
      <w:spacing w:before="0" w:after="57"/>
    </w:pPr>
  </w:style>
  <w:style w:type="paragraph" w:styleId="757">
    <w:name w:val="toc 3"/>
    <w:basedOn w:val="705"/>
    <w:next w:val="705"/>
    <w:uiPriority w:val="39"/>
    <w:unhideWhenUsed/>
    <w:pPr>
      <w:ind w:left="567" w:firstLine="0"/>
      <w:spacing w:before="0" w:after="57"/>
    </w:pPr>
  </w:style>
  <w:style w:type="paragraph" w:styleId="758">
    <w:name w:val="toc 4"/>
    <w:basedOn w:val="705"/>
    <w:next w:val="705"/>
    <w:uiPriority w:val="39"/>
    <w:unhideWhenUsed/>
    <w:pPr>
      <w:ind w:left="850" w:firstLine="0"/>
      <w:spacing w:before="0" w:after="57"/>
    </w:pPr>
  </w:style>
  <w:style w:type="paragraph" w:styleId="759">
    <w:name w:val="toc 5"/>
    <w:basedOn w:val="705"/>
    <w:next w:val="705"/>
    <w:uiPriority w:val="39"/>
    <w:unhideWhenUsed/>
    <w:pPr>
      <w:ind w:left="1134" w:firstLine="0"/>
      <w:spacing w:before="0" w:after="57"/>
    </w:pPr>
  </w:style>
  <w:style w:type="paragraph" w:styleId="760">
    <w:name w:val="toc 6"/>
    <w:basedOn w:val="705"/>
    <w:next w:val="705"/>
    <w:uiPriority w:val="39"/>
    <w:unhideWhenUsed/>
    <w:pPr>
      <w:ind w:left="1417" w:firstLine="0"/>
      <w:spacing w:before="0" w:after="57"/>
    </w:pPr>
  </w:style>
  <w:style w:type="paragraph" w:styleId="761">
    <w:name w:val="toc 7"/>
    <w:basedOn w:val="705"/>
    <w:next w:val="705"/>
    <w:uiPriority w:val="39"/>
    <w:unhideWhenUsed/>
    <w:pPr>
      <w:ind w:left="1701" w:firstLine="0"/>
      <w:spacing w:before="0" w:after="57"/>
    </w:pPr>
  </w:style>
  <w:style w:type="paragraph" w:styleId="762">
    <w:name w:val="toc 8"/>
    <w:basedOn w:val="705"/>
    <w:next w:val="705"/>
    <w:uiPriority w:val="39"/>
    <w:unhideWhenUsed/>
    <w:pPr>
      <w:ind w:left="1984" w:firstLine="0"/>
      <w:spacing w:before="0" w:after="57"/>
    </w:pPr>
  </w:style>
  <w:style w:type="paragraph" w:styleId="763">
    <w:name w:val="toc 9"/>
    <w:basedOn w:val="705"/>
    <w:next w:val="705"/>
    <w:uiPriority w:val="39"/>
    <w:unhideWhenUsed/>
    <w:pPr>
      <w:ind w:left="2268" w:firstLine="0"/>
      <w:spacing w:before="0" w:after="57"/>
    </w:pPr>
  </w:style>
  <w:style w:type="paragraph" w:styleId="764">
    <w:name w:val="Index Heading"/>
    <w:basedOn w:val="745"/>
  </w:style>
  <w:style w:type="paragraph" w:styleId="765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66">
    <w:name w:val="table of figures"/>
    <w:basedOn w:val="705"/>
    <w:next w:val="705"/>
    <w:uiPriority w:val="99"/>
    <w:unhideWhenUsed/>
    <w:qFormat/>
  </w:style>
  <w:style w:type="paragraph" w:styleId="767">
    <w:name w:val="Body Text Indent 3"/>
    <w:basedOn w:val="705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68">
    <w:name w:val="Колонтитул"/>
    <w:basedOn w:val="705"/>
    <w:qFormat/>
  </w:style>
  <w:style w:type="paragraph" w:styleId="769">
    <w:name w:val="Header"/>
    <w:basedOn w:val="705"/>
    <w:link w:val="735"/>
    <w:uiPriority w:val="99"/>
    <w:unhideWhenUsed/>
    <w:qFormat/>
  </w:style>
  <w:style w:type="paragraph" w:styleId="770">
    <w:name w:val="Footer"/>
    <w:basedOn w:val="705"/>
    <w:link w:val="736"/>
    <w:uiPriority w:val="99"/>
    <w:unhideWhenUsed/>
    <w:qFormat/>
  </w:style>
  <w:style w:type="paragraph" w:styleId="771">
    <w:name w:val="Normal (Web)"/>
    <w:basedOn w:val="705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72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73" w:customStyle="1">
    <w:name w:val="rezul"/>
    <w:basedOn w:val="705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74" w:customStyle="1">
    <w:name w:val="Заголов1"/>
    <w:basedOn w:val="705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75">
    <w:name w:val="List Paragraph"/>
    <w:basedOn w:val="705"/>
    <w:uiPriority w:val="99"/>
    <w:qFormat/>
    <w:pPr>
      <w:contextualSpacing/>
      <w:ind w:left="720" w:firstLine="0"/>
      <w:spacing w:before="0" w:after="0"/>
    </w:pPr>
  </w:style>
  <w:style w:type="paragraph" w:styleId="776">
    <w:name w:val="footnote text"/>
    <w:basedOn w:val="705"/>
    <w:link w:val="743"/>
    <w:rPr>
      <w:sz w:val="20"/>
      <w:szCs w:val="20"/>
      <w:lang w:eastAsia="zh-CN"/>
    </w:rPr>
  </w:style>
  <w:style w:type="paragraph" w:styleId="777">
    <w:name w:val="Balloon Text"/>
    <w:basedOn w:val="705"/>
    <w:link w:val="744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78" w:default="1">
    <w:name w:val="No List"/>
    <w:uiPriority w:val="99"/>
    <w:semiHidden/>
    <w:unhideWhenUsed/>
    <w:qFormat/>
  </w:style>
  <w:style w:type="table" w:styleId="779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basedOn w:val="7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1">
    <w:name w:val="Plain Table 1"/>
    <w:basedOn w:val="7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2">
    <w:name w:val="Plain Table 2"/>
    <w:basedOn w:val="77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3">
    <w:name w:val="Plain Table 3"/>
    <w:basedOn w:val="77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77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77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77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7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7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7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7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7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7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7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1"/>
    <w:basedOn w:val="77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2"/>
    <w:basedOn w:val="77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3"/>
    <w:basedOn w:val="77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4"/>
    <w:basedOn w:val="77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5"/>
    <w:basedOn w:val="77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6"/>
    <w:basedOn w:val="77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7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1"/>
    <w:basedOn w:val="77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2"/>
    <w:basedOn w:val="77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3"/>
    <w:basedOn w:val="77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4"/>
    <w:basedOn w:val="77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5"/>
    <w:basedOn w:val="77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6"/>
    <w:basedOn w:val="77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77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 w:customStyle="1">
    <w:name w:val="Grid Table 4 - Accent 1"/>
    <w:basedOn w:val="77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09" w:customStyle="1">
    <w:name w:val="Grid Table 4 - Accent 2"/>
    <w:basedOn w:val="77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10" w:customStyle="1">
    <w:name w:val="Grid Table 4 - Accent 3"/>
    <w:basedOn w:val="77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11" w:customStyle="1">
    <w:name w:val="Grid Table 4 - Accent 4"/>
    <w:basedOn w:val="77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12" w:customStyle="1">
    <w:name w:val="Grid Table 4 - Accent 5"/>
    <w:basedOn w:val="77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3" w:customStyle="1">
    <w:name w:val="Grid Table 4 - Accent 6"/>
    <w:basedOn w:val="77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4">
    <w:name w:val="Grid Table 5 Dark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1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2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3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4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5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6"/>
    <w:basedOn w:val="7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21">
    <w:name w:val="Grid Table 6 Colorful"/>
    <w:basedOn w:val="77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7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basedOn w:val="77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basedOn w:val="77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basedOn w:val="77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>
    <w:name w:val="Grid Table 7 Colorful"/>
    <w:basedOn w:val="77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1"/>
    <w:basedOn w:val="77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2"/>
    <w:basedOn w:val="77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3"/>
    <w:basedOn w:val="77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4"/>
    <w:basedOn w:val="77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5"/>
    <w:basedOn w:val="77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6"/>
    <w:basedOn w:val="77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>
    <w:name w:val="List Table 1 Light"/>
    <w:basedOn w:val="779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1"/>
    <w:basedOn w:val="779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2"/>
    <w:basedOn w:val="779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3"/>
    <w:basedOn w:val="779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4"/>
    <w:basedOn w:val="779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5"/>
    <w:basedOn w:val="779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6"/>
    <w:basedOn w:val="779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77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3" w:customStyle="1">
    <w:name w:val="List Table 2 - Accent 1"/>
    <w:basedOn w:val="77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44" w:customStyle="1">
    <w:name w:val="List Table 2 - Accent 2"/>
    <w:basedOn w:val="77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45" w:customStyle="1">
    <w:name w:val="List Table 2 - Accent 3"/>
    <w:basedOn w:val="77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46" w:customStyle="1">
    <w:name w:val="List Table 2 - Accent 4"/>
    <w:basedOn w:val="77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47" w:customStyle="1">
    <w:name w:val="List Table 2 - Accent 5"/>
    <w:basedOn w:val="77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48" w:customStyle="1">
    <w:name w:val="List Table 2 - Accent 6"/>
    <w:basedOn w:val="77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49">
    <w:name w:val="List Table 3"/>
    <w:basedOn w:val="7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7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7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7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7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7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7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7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7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7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7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7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77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7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7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7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7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>
    <w:name w:val="List Table 6 Colorful"/>
    <w:basedOn w:val="77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1" w:customStyle="1">
    <w:name w:val="List Table 6 Colorful - Accent 1"/>
    <w:basedOn w:val="77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2" w:customStyle="1">
    <w:name w:val="List Table 6 Colorful - Accent 2"/>
    <w:basedOn w:val="77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73" w:customStyle="1">
    <w:name w:val="List Table 6 Colorful - Accent 3"/>
    <w:basedOn w:val="77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74" w:customStyle="1">
    <w:name w:val="List Table 6 Colorful - Accent 4"/>
    <w:basedOn w:val="77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75" w:customStyle="1">
    <w:name w:val="List Table 6 Colorful - Accent 5"/>
    <w:basedOn w:val="77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76" w:customStyle="1">
    <w:name w:val="List Table 6 Colorful - Accent 6"/>
    <w:basedOn w:val="77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77">
    <w:name w:val="List Table 7 Colorful"/>
    <w:basedOn w:val="77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1"/>
    <w:basedOn w:val="77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2"/>
    <w:basedOn w:val="77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3"/>
    <w:basedOn w:val="77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4"/>
    <w:basedOn w:val="77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5"/>
    <w:basedOn w:val="77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6"/>
    <w:basedOn w:val="77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ned - Accent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85" w:customStyle="1">
    <w:name w:val="Lined - Accent 1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86" w:customStyle="1">
    <w:name w:val="Lined - Accent 2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87" w:customStyle="1">
    <w:name w:val="Lined - Accent 3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88" w:customStyle="1">
    <w:name w:val="Lined - Accent 4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89" w:customStyle="1">
    <w:name w:val="Lined - Accent 5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0" w:customStyle="1">
    <w:name w:val="Lined - Accent 6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1" w:customStyle="1">
    <w:name w:val="Bordered &amp; Lined - Accent"/>
    <w:basedOn w:val="77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92" w:customStyle="1">
    <w:name w:val="Bordered &amp; Lined - Accent 1"/>
    <w:basedOn w:val="77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93" w:customStyle="1">
    <w:name w:val="Bordered &amp; Lined - Accent 2"/>
    <w:basedOn w:val="77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4" w:customStyle="1">
    <w:name w:val="Bordered &amp; Lined - Accent 3"/>
    <w:basedOn w:val="77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5" w:customStyle="1">
    <w:name w:val="Bordered &amp; Lined - Accent 4"/>
    <w:basedOn w:val="77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6" w:customStyle="1">
    <w:name w:val="Bordered &amp; Lined - Accent 5"/>
    <w:basedOn w:val="77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7" w:customStyle="1">
    <w:name w:val="Bordered &amp; Lined - Accent 6"/>
    <w:basedOn w:val="77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8" w:customStyle="1">
    <w:name w:val="Bordered"/>
    <w:basedOn w:val="77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99" w:customStyle="1">
    <w:name w:val="Bordered - Accent 1"/>
    <w:basedOn w:val="77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0" w:customStyle="1">
    <w:name w:val="Bordered - Accent 2"/>
    <w:basedOn w:val="77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01" w:customStyle="1">
    <w:name w:val="Bordered - Accent 3"/>
    <w:basedOn w:val="77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02" w:customStyle="1">
    <w:name w:val="Bordered - Accent 4"/>
    <w:basedOn w:val="77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03" w:customStyle="1">
    <w:name w:val="Bordered - Accent 5"/>
    <w:basedOn w:val="77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04" w:customStyle="1">
    <w:name w:val="Bordered - Accent 6"/>
    <w:basedOn w:val="77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05">
    <w:name w:val="Table Grid"/>
    <w:basedOn w:val="779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29</cp:revision>
  <dcterms:created xsi:type="dcterms:W3CDTF">2023-10-31T06:24:00Z</dcterms:created>
  <dcterms:modified xsi:type="dcterms:W3CDTF">2024-04-18T08:37:12Z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