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33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Утверждено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3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распоряжением начальника Управления имущественных и земельных отношений 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3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Администрации города Костромы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3"/>
        <w:ind w:left="5245" w:firstLine="0"/>
        <w:jc w:val="center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от _________________ № _______</w:t>
      </w:r>
      <w:r>
        <w:rPr>
          <w:bCs/>
          <w:i/>
          <w:sz w:val="20"/>
          <w:szCs w:val="20"/>
        </w:rPr>
      </w:r>
      <w:r>
        <w:rPr>
          <w:bCs/>
          <w:i/>
          <w:sz w:val="20"/>
          <w:szCs w:val="20"/>
        </w:rPr>
      </w:r>
    </w:p>
    <w:p>
      <w:pPr>
        <w:pStyle w:val="733"/>
        <w:ind w:left="5245" w:firstLine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</w:p>
    <w:p>
      <w:pPr>
        <w:pStyle w:val="802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ИЗВЕЩЕНИЕ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02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О проведении аукциона по продаже земельного участка, расположенного на территории города Костромы, государственная собственность на который не разграничена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709"/>
        <w:jc w:val="both"/>
        <w:rPr>
          <w:rFonts w:ascii="Liberation Serif" w:hAnsi="Liberation Serif"/>
          <w:b/>
          <w:i/>
          <w:sz w:val="20"/>
          <w:szCs w:val="20"/>
        </w:rPr>
      </w:pP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Управление имущественных и земельных отношений Администрации города Костромы сообщает о проведении</w:t>
      </w:r>
      <w:r>
        <w:rPr>
          <w:rFonts w:ascii="Times New Roman" w:hAnsi="Times New Roman"/>
          <w:b/>
          <w:bCs/>
          <w:sz w:val="20"/>
          <w:szCs w:val="20"/>
        </w:rPr>
        <w:t xml:space="preserve"> 29 октября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202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5 года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аукциона по продаже земельного участка.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</w:rPr>
        <w:t xml:space="preserve">Форма торгов – электронный аукцион. </w:t>
      </w: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</w:rPr>
        <w:t xml:space="preserve">Участниками аукциона являются граждане.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Основание проведения аукциона – 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постановление Администрации города Костромы от 9 апреля 2025 года № 69</w:t>
      </w:r>
      <w:r>
        <w:rPr>
          <w:rFonts w:ascii="Times New Roman" w:hAnsi="Times New Roman"/>
          <w:color w:val="000000"/>
          <w:sz w:val="20"/>
          <w:szCs w:val="20"/>
        </w:rPr>
        <w:t xml:space="preserve">1 «Об отказе в предоставлении в собственность и о проведении аукциона по продаже земельного участка, расположенного по адресу: Российская Федерация, Костромская область, городской округ город Кострома, город Кострома, улица Озерная, земельный участок 63а».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3. Сведения о предмете аукциона: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Лот № 1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адрес</w:t>
      </w:r>
      <w:r>
        <w:rPr>
          <w:rFonts w:ascii="Times New Roman" w:hAnsi="Times New Roman"/>
          <w:color w:val="000000"/>
          <w:sz w:val="20"/>
          <w:szCs w:val="20"/>
        </w:rPr>
        <w:t xml:space="preserve">: Российская Федерация, Костромская область, городской округ город Кострома, город Кострома, улица Озерная, земельный участок 63а</w:t>
      </w:r>
      <w:r>
        <w:rPr>
          <w:rFonts w:ascii="Times New Roman" w:hAnsi="Times New Roman"/>
          <w:sz w:val="20"/>
          <w:szCs w:val="20"/>
        </w:rPr>
        <w:t xml:space="preserve">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площадь: 500</w:t>
      </w:r>
      <w:r>
        <w:rPr>
          <w:rFonts w:ascii="Times New Roman" w:hAnsi="Times New Roman"/>
          <w:sz w:val="20"/>
          <w:szCs w:val="20"/>
        </w:rPr>
        <w:t xml:space="preserve"> кв.м;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кадастровый номер: 44:27:050511</w:t>
      </w:r>
      <w:r>
        <w:rPr>
          <w:rFonts w:ascii="Times New Roman" w:hAnsi="Times New Roman"/>
          <w:sz w:val="20"/>
          <w:szCs w:val="20"/>
        </w:rPr>
        <w:t xml:space="preserve">:</w:t>
      </w:r>
      <w:r>
        <w:rPr>
          <w:rFonts w:ascii="Times New Roman" w:hAnsi="Times New Roman"/>
          <w:sz w:val="20"/>
          <w:szCs w:val="20"/>
        </w:rPr>
        <w:t xml:space="preserve">290;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категория земель: земли населенных пунктов;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- разрешенное использов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ан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е: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для индивидуального жилищного строительства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;</w:t>
      </w:r>
      <w:r>
        <w:rPr>
          <w:rFonts w:ascii="Times New Roman" w:hAnsi="Times New Roman" w:eastAsia="Times New Roman" w:cs="Times New Roman"/>
          <w:sz w:val="20"/>
          <w:szCs w:val="20"/>
          <w14:ligatures w14:val="none"/>
        </w:rPr>
      </w:r>
      <w:r>
        <w:rPr>
          <w:rFonts w:ascii="Times New Roman" w:hAnsi="Times New Roman" w:eastAsia="Times New Roman" w:cs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highlight w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</w:t>
      </w:r>
      <w:r>
        <w:rPr>
          <w:rFonts w:ascii="Times New Roman" w:hAnsi="Times New Roman"/>
          <w:sz w:val="20"/>
          <w:szCs w:val="20"/>
          <w:highlight w:val="white"/>
        </w:rPr>
        <w:t xml:space="preserve"> обременения и ограничения: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подзонах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(зоны с особыми условиями использования территории с реестровыми номерами 44:00-6.583; 44:00-6.584; 44:00-6.585; 44:00-6.59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3)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;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 вид зоны по документу: з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она умеренного подтопления 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при глубине залегания грунтовых вод от 0,3-0,7 до 1,2-2 метров на территории городского округа г. Костромы и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 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населенных пунктов Костромского муниципального района в соответствии с ген.планом с учетом перспективной застройки,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 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р.Баклановка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 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(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з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она с особыми условиями использования территории с р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еестровым номером границы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44:27-6.3033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  <w:t xml:space="preserve">)</w:t>
      </w:r>
      <w:r>
        <w:rPr>
          <w:rFonts w:ascii="Times New Roman" w:hAnsi="Times New Roman" w:cs="Times New Roman"/>
          <w:sz w:val="20"/>
          <w:szCs w:val="20"/>
        </w:rPr>
        <w:t xml:space="preserve">;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особые условия и режим хозяйственной деятельности в охранных зонах инженерных коммуникаций;</w:t>
      </w:r>
      <w:r>
        <w:rPr>
          <w:highlight w:val="none"/>
        </w:rPr>
      </w:r>
      <w:r>
        <w:rPr>
          <w:highlight w:val="none"/>
        </w:rPr>
      </w:r>
    </w:p>
    <w:p>
      <w:pPr>
        <w:ind w:firstLine="709"/>
        <w:jc w:val="both"/>
        <w:rPr>
          <w:rFonts w:ascii="Times New Roman" w:hAnsi="Times New Roman" w:cs="Times New Roman"/>
          <w:sz w:val="22"/>
          <w:szCs w:val="22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sz w:val="20"/>
          <w:szCs w:val="20"/>
        </w:rPr>
        <w:t xml:space="preserve">С учетом статьи 67.1 </w:t>
      </w:r>
      <w:r>
        <w:rPr>
          <w:rFonts w:ascii="Times New Roman" w:hAnsi="Times New Roman" w:cs="Times New Roman"/>
          <w:sz w:val="20"/>
          <w:szCs w:val="20"/>
        </w:rPr>
        <w:t xml:space="preserve">Водного кодекса Российской Федерации в границах зон </w:t>
      </w:r>
      <w:r>
        <w:rPr>
          <w:rFonts w:ascii="Times New Roman" w:hAnsi="Times New Roman" w:cs="Times New Roman"/>
          <w:sz w:val="20"/>
          <w:szCs w:val="20"/>
        </w:rPr>
        <w:t xml:space="preserve">затопления, подтопления допускается строительство объектов капитального строительства при условии обеспечения таких объектов сооружениями и (или) методами инженерной защиты территорий и объектов от негативного воздействия вод.</w:t>
      </w:r>
      <w:r>
        <w:rPr>
          <w:rFonts w:ascii="Times New Roman" w:hAnsi="Times New Roman" w:cs="Times New Roman"/>
          <w:sz w:val="22"/>
          <w:szCs w:val="22"/>
          <w14:ligatures w14:val="none"/>
        </w:rPr>
      </w:r>
      <w:r>
        <w:rPr>
          <w:rFonts w:ascii="Times New Roman" w:hAnsi="Times New Roman" w:cs="Times New Roman"/>
          <w:sz w:val="22"/>
          <w:szCs w:val="22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- па</w:t>
      </w:r>
      <w:r>
        <w:rPr>
          <w:rFonts w:ascii="Times New Roman" w:hAnsi="Times New Roman"/>
          <w:sz w:val="20"/>
          <w:szCs w:val="20"/>
        </w:rPr>
        <w:t xml:space="preserve">раметры разрешенного строитель</w:t>
      </w:r>
      <w:r>
        <w:rPr>
          <w:rFonts w:ascii="Times New Roman" w:hAnsi="Times New Roman"/>
          <w:sz w:val="20"/>
          <w:szCs w:val="20"/>
        </w:rPr>
        <w:t xml:space="preserve">ства: </w:t>
      </w:r>
      <w:r>
        <w:rPr>
          <w:rFonts w:ascii="Times New Roman" w:hAnsi="Times New Roman"/>
          <w:sz w:val="20"/>
          <w:szCs w:val="20"/>
        </w:rPr>
        <w:t xml:space="preserve">максимальный процент застройки земельного участка – 25; предельная высота зданий – 10,5 м; минимальный отступ от границ земельного участка – 3 м;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информация о возможности подключения (технологического присоединения): водоснабжение, водоотведение, ливневая канализация от МУП города Костромы «Костромагорводоканал» от 08</w:t>
      </w:r>
      <w:r>
        <w:rPr>
          <w:rFonts w:ascii="Times New Roman" w:hAnsi="Times New Roman"/>
          <w:sz w:val="20"/>
          <w:szCs w:val="20"/>
          <w:highlight w:val="white"/>
        </w:rPr>
        <w:t xml:space="preserve">.08</w:t>
      </w:r>
      <w:r>
        <w:rPr>
          <w:rFonts w:ascii="Times New Roman" w:hAnsi="Times New Roman"/>
          <w:sz w:val="20"/>
          <w:szCs w:val="20"/>
          <w:highlight w:val="white"/>
        </w:rPr>
        <w:t xml:space="preserve">.2025</w:t>
        <w:br/>
        <w:t xml:space="preserve">№ исх.02.11/5487</w:t>
      </w:r>
      <w:r>
        <w:rPr>
          <w:rFonts w:ascii="Times New Roman" w:hAnsi="Times New Roman"/>
          <w:sz w:val="20"/>
          <w:szCs w:val="20"/>
          <w:highlight w:val="white"/>
        </w:rPr>
        <w:t xml:space="preserve">д, от 07</w:t>
      </w:r>
      <w:r>
        <w:rPr>
          <w:rFonts w:ascii="Times New Roman" w:hAnsi="Times New Roman"/>
          <w:sz w:val="20"/>
          <w:szCs w:val="20"/>
          <w:highlight w:val="white"/>
        </w:rPr>
        <w:t xml:space="preserve">.08</w:t>
      </w:r>
      <w:r>
        <w:rPr>
          <w:rFonts w:ascii="Times New Roman" w:hAnsi="Times New Roman"/>
          <w:sz w:val="20"/>
          <w:szCs w:val="20"/>
          <w:highlight w:val="white"/>
        </w:rPr>
        <w:t xml:space="preserve">.2025 № исх.02.11/5465</w:t>
      </w:r>
      <w:r>
        <w:rPr>
          <w:rFonts w:ascii="Times New Roman" w:hAnsi="Times New Roman"/>
          <w:sz w:val="20"/>
          <w:szCs w:val="20"/>
          <w:highlight w:val="white"/>
        </w:rPr>
        <w:t xml:space="preserve">; газоснабжение от ООО «Газпром газораспределение Кострома» от 22</w:t>
      </w:r>
      <w:r>
        <w:rPr>
          <w:rFonts w:ascii="Times New Roman" w:hAnsi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  <w:t xml:space="preserve">04.2025 № ИС-15/2081</w:t>
      </w:r>
      <w:r>
        <w:rPr>
          <w:rFonts w:ascii="Times New Roman" w:hAnsi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/>
          <w:sz w:val="20"/>
          <w:szCs w:val="20"/>
          <w:highlight w:val="white"/>
        </w:rPr>
        <w:t xml:space="preserve">теплоснабжение от </w:t>
      </w:r>
      <w:r>
        <w:rPr>
          <w:rFonts w:ascii="Times New Roman" w:hAnsi="Times New Roman"/>
          <w:sz w:val="20"/>
          <w:szCs w:val="20"/>
          <w:highlight w:val="white"/>
        </w:rPr>
        <w:t xml:space="preserve">ПАО «ТГК-2»</w:t>
      </w:r>
      <w:r>
        <w:rPr>
          <w:rFonts w:ascii="Times New Roman" w:hAnsi="Times New Roman"/>
          <w:sz w:val="20"/>
          <w:szCs w:val="20"/>
          <w:highlight w:val="white"/>
        </w:rPr>
        <w:t xml:space="preserve"> от 22</w:t>
      </w:r>
      <w:r>
        <w:rPr>
          <w:rFonts w:ascii="Times New Roman" w:hAnsi="Times New Roman"/>
          <w:sz w:val="20"/>
          <w:szCs w:val="20"/>
          <w:highlight w:val="white"/>
        </w:rPr>
        <w:t xml:space="preserve">.04</w:t>
      </w:r>
      <w:r>
        <w:rPr>
          <w:rFonts w:ascii="Times New Roman" w:hAnsi="Times New Roman"/>
          <w:sz w:val="20"/>
          <w:szCs w:val="20"/>
          <w:highlight w:val="white"/>
        </w:rPr>
        <w:t xml:space="preserve">.2025 № Исх</w:t>
      </w:r>
      <w:r>
        <w:rPr>
          <w:rFonts w:ascii="Times New Roman" w:hAnsi="Times New Roman"/>
          <w:sz w:val="20"/>
          <w:szCs w:val="20"/>
          <w:highlight w:val="white"/>
        </w:rPr>
        <w:t xml:space="preserve">4201/461-2025</w:t>
      </w:r>
      <w:r>
        <w:rPr>
          <w:rFonts w:ascii="Times New Roman" w:hAnsi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/>
          <w:sz w:val="20"/>
          <w:szCs w:val="20"/>
          <w:highlight w:val="white"/>
        </w:rPr>
        <w:t xml:space="preserve">от МУП г.Костромы «Городские сети» от 22.04.2025 №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13-0</w:t>
      </w:r>
      <w:r>
        <w:rPr>
          <w:rFonts w:ascii="Times New Roman" w:hAnsi="Times New Roman"/>
          <w:sz w:val="20"/>
          <w:szCs w:val="20"/>
          <w:highlight w:val="white"/>
        </w:rPr>
        <w:t xml:space="preserve">1/01666; 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</w:t>
      </w:r>
      <w:r>
        <w:rPr>
          <w:rFonts w:ascii="Times New Roman" w:hAnsi="Times New Roman"/>
          <w:sz w:val="20"/>
          <w:szCs w:val="20"/>
          <w:highlight w:val="white"/>
        </w:rPr>
        <w:t xml:space="preserve">начальная цена земельного участка</w:t>
      </w:r>
      <w:r>
        <w:rPr>
          <w:rFonts w:ascii="Times New Roman" w:hAnsi="Times New Roman"/>
          <w:sz w:val="20"/>
          <w:szCs w:val="20"/>
          <w:highlight w:val="white"/>
        </w:rPr>
        <w:t xml:space="preserve">: 1 642 200</w:t>
      </w:r>
      <w:r>
        <w:rPr>
          <w:rFonts w:ascii="Times New Roman" w:hAnsi="Times New Roman"/>
          <w:sz w:val="20"/>
          <w:szCs w:val="20"/>
          <w:highlight w:val="white"/>
        </w:rPr>
        <w:t xml:space="preserve"> (Один миллион шестьсот сорок две </w:t>
      </w:r>
      <w:r>
        <w:rPr>
          <w:rFonts w:ascii="Times New Roman" w:hAnsi="Times New Roman"/>
          <w:sz w:val="20"/>
          <w:szCs w:val="20"/>
          <w:highlight w:val="white"/>
        </w:rPr>
        <w:t xml:space="preserve">тысячи двести</w:t>
      </w:r>
      <w:r>
        <w:rPr>
          <w:rFonts w:ascii="Times New Roman" w:hAnsi="Times New Roman"/>
          <w:sz w:val="20"/>
          <w:szCs w:val="20"/>
          <w:highlight w:val="white"/>
        </w:rPr>
        <w:t xml:space="preserve">) рублей;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шаг аукциона: 49 266</w:t>
      </w:r>
      <w:r>
        <w:rPr>
          <w:rFonts w:ascii="Times New Roman" w:hAnsi="Times New Roman"/>
          <w:sz w:val="20"/>
          <w:szCs w:val="20"/>
          <w:highlight w:val="white"/>
        </w:rPr>
        <w:t xml:space="preserve"> (Сорок девять </w:t>
      </w:r>
      <w:r>
        <w:rPr>
          <w:rFonts w:ascii="Times New Roman" w:hAnsi="Times New Roman"/>
          <w:sz w:val="20"/>
          <w:szCs w:val="20"/>
          <w:highlight w:val="white"/>
        </w:rPr>
        <w:t xml:space="preserve">тысяч двести шестьдесят шесть) рублей;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размер задатка: 410 550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(Четыреста десять тысяч пятьсот пятьдесят</w:t>
      </w:r>
      <w:r>
        <w:rPr>
          <w:rFonts w:ascii="Times New Roman" w:hAnsi="Times New Roman"/>
          <w:sz w:val="20"/>
          <w:szCs w:val="20"/>
          <w:highlight w:val="white"/>
        </w:rPr>
        <w:t xml:space="preserve">)</w:t>
      </w:r>
      <w:r>
        <w:rPr>
          <w:rFonts w:ascii="Times New Roman" w:hAnsi="Times New Roman"/>
          <w:sz w:val="20"/>
          <w:szCs w:val="20"/>
          <w:highlight w:val="white"/>
        </w:rPr>
        <w:t xml:space="preserve"> рубл</w:t>
      </w:r>
      <w:r>
        <w:rPr>
          <w:rFonts w:ascii="Times New Roman" w:hAnsi="Times New Roman"/>
          <w:sz w:val="20"/>
          <w:szCs w:val="20"/>
          <w:highlight w:val="white"/>
        </w:rPr>
        <w:t xml:space="preserve">ей</w:t>
      </w:r>
      <w:r>
        <w:rPr>
          <w:rFonts w:ascii="Times New Roman" w:hAnsi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</w:rPr>
        <w:t xml:space="preserve">-д</w:t>
      </w:r>
      <w:r>
        <w:rPr>
          <w:rFonts w:ascii="Times New Roman" w:hAnsi="Times New Roman"/>
          <w:sz w:val="20"/>
          <w:szCs w:val="20"/>
          <w:highlight w:val="white"/>
        </w:rPr>
        <w:t xml:space="preserve">ата размещения извещения о предоставлении земельного участка для индивидуального жилищного строительства - 30.03.2025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none"/>
        </w:rPr>
        <w:t xml:space="preserve">4</w:t>
      </w:r>
      <w:r>
        <w:rPr>
          <w:rFonts w:ascii="Times New Roman" w:hAnsi="Times New Roman"/>
          <w:sz w:val="20"/>
          <w:szCs w:val="20"/>
          <w:highlight w:val="white"/>
        </w:rPr>
        <w:t xml:space="preserve">. Организатор аукцио</w:t>
      </w:r>
      <w:r>
        <w:rPr>
          <w:rFonts w:ascii="Times New Roman" w:hAnsi="Times New Roman"/>
          <w:sz w:val="20"/>
          <w:szCs w:val="20"/>
          <w:highlight w:val="white"/>
        </w:rPr>
        <w:t xml:space="preserve">на – Управление имущественных и земельных отношений Администрации города Костромы; место нахождения: 156005, Костромская область, город Кострома, площадь Конституции, 2; телефон (4942) 42-68-41, 44-07-64; e-mail: uizo@gradkostroma.ru (дале</w:t>
      </w:r>
      <w:r>
        <w:rPr>
          <w:rFonts w:ascii="Times New Roman" w:hAnsi="Times New Roman"/>
          <w:sz w:val="20"/>
          <w:szCs w:val="20"/>
          <w:highlight w:val="white"/>
        </w:rPr>
        <w:t xml:space="preserve">е – организатор).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</w:rPr>
        <w:t xml:space="preserve">5</w:t>
      </w:r>
      <w:r>
        <w:rPr>
          <w:rFonts w:ascii="Times New Roman" w:hAnsi="Times New Roman"/>
          <w:sz w:val="20"/>
          <w:szCs w:val="20"/>
          <w:highlight w:val="white"/>
        </w:rPr>
        <w:t xml:space="preserve">. </w:t>
      </w:r>
      <w:r>
        <w:rPr>
          <w:rFonts w:ascii="Times New Roman" w:hAnsi="Times New Roman"/>
          <w:sz w:val="20"/>
          <w:szCs w:val="20"/>
          <w:highlight w:val="white"/>
        </w:rPr>
        <w:t xml:space="preserve">Для участия в аукционе заявители представляют в установленный в извещении о проведении аукциона срок следующие документы: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 заявка на участие в аукционе по установленной в извещении о проведении аукциона форме с указанием банковских реквизитов счета для возврата задатка (Приложение 1);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копии документов, удостоверяющих личность заявителя (для граждан)</w:t>
      </w:r>
      <w:r>
        <w:rPr>
          <w:rFonts w:ascii="Times New Roman" w:hAnsi="Times New Roman"/>
          <w:sz w:val="20"/>
          <w:szCs w:val="20"/>
          <w:highlight w:val="white"/>
        </w:rPr>
        <w:t xml:space="preserve"> (копии всех страниц паспорта гражданина Российской Федерации</w:t>
      </w:r>
      <w:r>
        <w:rPr>
          <w:rFonts w:ascii="Times New Roman" w:hAnsi="Times New Roman"/>
          <w:sz w:val="20"/>
          <w:szCs w:val="20"/>
          <w:highlight w:val="white"/>
        </w:rPr>
        <w:t xml:space="preserve">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документ, подтверждающий полномочия представителя претендента, если с заявкой обращается представитель претендента.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документы, подтверждающие внесение задатка, представление которых признается заключением соглашения о задатке.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Заявка </w:t>
      </w:r>
      <w:r>
        <w:rPr>
          <w:rFonts w:ascii="Times New Roman" w:hAnsi="Times New Roman"/>
          <w:sz w:val="20"/>
          <w:szCs w:val="20"/>
          <w:highlight w:val="white"/>
        </w:rPr>
        <w:t xml:space="preserve">на участие в электронном аукционе с указанием </w:t>
      </w:r>
      <w:r>
        <w:rPr>
          <w:rFonts w:ascii="Times New Roman" w:hAnsi="Times New Roman"/>
          <w:sz w:val="20"/>
          <w:szCs w:val="20"/>
        </w:rPr>
        <w:t xml:space="preserve">банковских реквизитов счета для возврата задатка направляется оператору электронной площадки </w:t>
      </w:r>
      <w:r>
        <w:rPr>
          <w:rFonts w:ascii="Times New Roman" w:hAnsi="Times New Roman" w:eastAsia="Calibri"/>
          <w:sz w:val="20"/>
          <w:szCs w:val="20"/>
        </w:rPr>
        <w:t xml:space="preserve">на сайте </w:t>
      </w:r>
      <w:hyperlink r:id="rId9" w:tooltip="https://www.rts-tender.ru/" w:history="1">
        <w:r>
          <w:rPr>
            <w:rStyle w:val="761"/>
            <w:rFonts w:ascii="Times New Roman" w:hAnsi="Times New Roman" w:eastAsia="Calibri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 w:eastAsia="Calibri"/>
          <w:sz w:val="20"/>
          <w:szCs w:val="20"/>
        </w:rPr>
        <w:t xml:space="preserve"> (ООО «РТС-тендер») </w:t>
      </w:r>
      <w:r>
        <w:rPr>
          <w:rFonts w:ascii="Times New Roman" w:hAnsi="Times New Roman"/>
          <w:sz w:val="20"/>
          <w:szCs w:val="20"/>
        </w:rPr>
        <w:t xml:space="preserve">в форме электронного документа с приложением документов. Заявка на участие в электронном аукционе, а также прилагаемые к ней документы подписываются усиленной квалифицированной электронной подписью заяв</w:t>
      </w:r>
      <w:r>
        <w:rPr>
          <w:rFonts w:ascii="Times New Roman" w:hAnsi="Times New Roman"/>
          <w:sz w:val="20"/>
          <w:szCs w:val="20"/>
        </w:rPr>
        <w:t xml:space="preserve">ителя.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В случа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</w:t>
      </w:r>
      <w:r>
        <w:rPr>
          <w:rFonts w:ascii="Times New Roman" w:hAnsi="Times New Roman" w:eastAsia="Calibri"/>
          <w:sz w:val="20"/>
          <w:szCs w:val="20"/>
          <w:highlight w:val="none"/>
        </w:rPr>
      </w:r>
      <w:r>
        <w:rPr>
          <w:rFonts w:ascii="Times New Roman" w:hAnsi="Times New Roman" w:eastAsia="Calibri"/>
          <w:sz w:val="20"/>
          <w:szCs w:val="20"/>
          <w:highlight w:val="none"/>
        </w:rPr>
      </w:r>
    </w:p>
    <w:p>
      <w:pPr>
        <w:pStyle w:val="80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Одно лицо имеет право подать только одну заявку </w:t>
      </w:r>
      <w:r>
        <w:rPr>
          <w:rFonts w:ascii="Times New Roman" w:hAnsi="Times New Roman"/>
          <w:bCs/>
          <w:sz w:val="20"/>
          <w:szCs w:val="20"/>
        </w:rPr>
        <w:t xml:space="preserve">на один ЛОТ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Заявка на участие в аукционе, поступившая по истечении срока приема заявок, возвращается заявителю в день ее поступления.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ок в течение трех рабочих дней со дня поступления уведомления об отзыве заявки. В случае отзыва заявки за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явителем позднее дня окончания срока приема заявок задаток возвращается в порядке, установленном для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не допускается к участию в аукционе в следующих случаях: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непредставление необходимых для участия в аукционе документов или представление недостоверных сведений;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непоступление задатка на дату рассмотрения заявок на участие в аукционе;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реестре недобросовестных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ата и время начала подачи заявок: 3 октября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2025 года с 10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800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Дата и время окончания подачи заявок: 24 октября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202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5 года в 18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6.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Срок, место и порядок предоставления информационного сообщения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электронный адрес сайта в информационно-телекоммуникационной сети Интернет </w:t>
      </w:r>
      <w:hyperlink r:id="rId10" w:tooltip="http://www.rts-tender.ru/" w:history="1"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www</w:t>
        </w:r>
        <w:r>
          <w:rPr>
            <w:rStyle w:val="761"/>
            <w:rFonts w:ascii="Times New Roman" w:hAnsi="Times New Roman"/>
            <w:sz w:val="20"/>
            <w:szCs w:val="20"/>
          </w:rPr>
          <w:t xml:space="preserve">. </w:t>
        </w:r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i</w:t>
        </w:r>
        <w:r>
          <w:rPr>
            <w:rStyle w:val="761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rts</w:t>
        </w:r>
        <w:r>
          <w:rPr>
            <w:rStyle w:val="761"/>
            <w:rFonts w:ascii="Times New Roman" w:hAnsi="Times New Roman"/>
            <w:sz w:val="20"/>
            <w:szCs w:val="20"/>
          </w:rPr>
          <w:t xml:space="preserve">-</w:t>
        </w:r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tender</w:t>
        </w:r>
        <w:r>
          <w:rPr>
            <w:rStyle w:val="761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ru</w:t>
        </w:r>
      </w:hyperlink>
      <w:r>
        <w:rPr>
          <w:rFonts w:ascii="Times New Roman" w:hAnsi="Times New Roman"/>
          <w:sz w:val="20"/>
          <w:szCs w:val="20"/>
        </w:rPr>
        <w:t xml:space="preserve">  (ООО «РТС-тендер»)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на котором размещается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информационное сообщение: информационное сообщение размещается на официальных сайтах торгов и на электронной площадке. С информационным сообщением можно ознакомиться с даты размещения информационного сообщения на официальных сайтах: на официальном сайте Ро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ссийской Федерации для размещения информации о проведении торгов, определенном Правительством Российской Федерации, на официальном сайте Администрации города Костромы,  а также на электронной площадке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www.rts-tender.ru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до даты окончания приема заявок.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7.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Порядок внесения и возврата задатка, банковские реквизиты счета для перечисления задатка.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Порядок внесения задатка определяется регламентом работы электронной площадки Организатора www.rts-tender.ru.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</w:t>
      </w:r>
      <w:r>
        <w:rPr>
          <w:rFonts w:ascii="Times New Roman" w:hAnsi="Times New Roman"/>
          <w:sz w:val="20"/>
          <w:szCs w:val="20"/>
          <w:lang w:eastAsia="en-US"/>
        </w:rPr>
        <w:t xml:space="preserve">ля участия в аукционе в электронной форме</w:t>
      </w:r>
      <w:r>
        <w:rPr>
          <w:rFonts w:ascii="Times New Roman" w:hAnsi="Times New Roman"/>
          <w:sz w:val="20"/>
          <w:szCs w:val="20"/>
          <w:lang w:eastAsia="en-US"/>
        </w:rPr>
        <w:t xml:space="preserve"> установлено требование о внесении задатка. В целях исполнения данного требования Заявитель обеспечивает наличие денежных средств на счёте Оператора электронной площадки в размере, не менее суммы задатка, установленного в настоящей аукционной документации.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За</w:t>
      </w:r>
      <w:r>
        <w:rPr>
          <w:rFonts w:ascii="Times New Roman" w:hAnsi="Times New Roman"/>
          <w:sz w:val="20"/>
          <w:szCs w:val="20"/>
          <w:lang w:eastAsia="en-US"/>
        </w:rPr>
        <w:t xml:space="preserve">числение денежных средств на счёт Оператора электронной площадки производится </w:t>
      </w:r>
      <w:r>
        <w:rPr>
          <w:rFonts w:ascii="Times New Roman" w:hAnsi="Times New Roman"/>
          <w:sz w:val="20"/>
          <w:szCs w:val="20"/>
          <w:lang w:eastAsia="en-US"/>
        </w:rPr>
        <w:t xml:space="preserve">в срок до даты рассмотрения заявок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(не позднее:</w:t>
      </w:r>
      <w:r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 xml:space="preserve"> 28 октября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 2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02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5 года 10 час. 00 мин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время московское)</w:t>
      </w:r>
      <w:r>
        <w:rPr>
          <w:rFonts w:ascii="Times New Roman" w:hAnsi="Times New Roman"/>
          <w:sz w:val="20"/>
          <w:szCs w:val="20"/>
          <w:lang w:eastAsia="en-US"/>
        </w:rPr>
        <w:t xml:space="preserve"> в соответствии с Регламентом Оператора электронной площадки, размещенными на электронной площадке по следующим реквизитам: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Получатель платежа: ООО «РТС-тендер»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Банковские реквизиты: Филиал «Корпоративный» ПАО «</w:t>
      </w:r>
      <w:r>
        <w:rPr>
          <w:rFonts w:ascii="Times New Roman" w:hAnsi="Times New Roman"/>
          <w:sz w:val="20"/>
          <w:szCs w:val="20"/>
          <w:lang w:eastAsia="en-US"/>
        </w:rPr>
        <w:t xml:space="preserve">Совкомбанк</w:t>
      </w:r>
      <w:r>
        <w:rPr>
          <w:rFonts w:ascii="Times New Roman" w:hAnsi="Times New Roman"/>
          <w:sz w:val="20"/>
          <w:szCs w:val="20"/>
          <w:lang w:eastAsia="en-US"/>
        </w:rPr>
        <w:t xml:space="preserve">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БИК 044525360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Расчётный счёт: 40702810512030016362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Корр. счёт 30101810445250000360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ИНН 7710357167 КПП 773001001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Назначение платежа: «Внесение гарантийного обеспечения по Соглашению о внесении гарантийного обеспечения, № аналитического счета, без НДС».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средства, перечисленные в соответствии с Регламентом Оператора электронной площадки, размещенными на электронной площадке на счет Оператора электронной площадки, учитываются на счете Заявителя, открытом у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 в размере, равном задатку, блокируются Оператором электронной площадки на счете Заявителя в соответствии с Регл</w:t>
      </w:r>
      <w:r>
        <w:rPr>
          <w:rFonts w:ascii="Times New Roman" w:hAnsi="Times New Roman"/>
          <w:sz w:val="20"/>
          <w:szCs w:val="20"/>
          <w:lang w:eastAsia="en-US"/>
        </w:rPr>
        <w:t xml:space="preserve">аментом Оператора электронной площадки, размещенными на электронной площадке. Основанием для блокирования денежных средств является Заявка, направленная Оператору электронной площадки. Заблокированные на счете Заявителя денежные средства являются задатком.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Подача Заявки и блокирование задатка является заключением соглашения о задатке.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 если денежных средств на счете Заявителя недостаточно, Оператором электронной площадки Заявка не принимается.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Заявителю необходимо обеспечить на своем аналитическом счете</w:t>
      </w:r>
      <w:r>
        <w:rPr>
          <w:sz w:val="20"/>
          <w:szCs w:val="20"/>
          <w:highlight w:val="none"/>
        </w:rPr>
        <w:t xml:space="preserve"> наличие денежных средств в размере: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задатка для участия в аукционе на дату рассмотрения заявок</w:t>
      </w:r>
      <w:r>
        <w:rPr>
          <w:sz w:val="20"/>
          <w:szCs w:val="20"/>
          <w:highlight w:val="none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гарантийного обеспечения оплаты оказания услуг к моменту подачи заявки</w:t>
      </w:r>
      <w:r>
        <w:rPr>
          <w:sz w:val="20"/>
          <w:szCs w:val="20"/>
          <w:highlight w:val="none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Прекращение блокирования денежных средств на счете Заявителя в соответствии с Регламентом Оператора электронной площадки, размещенными на электронной площадке производится Оператором электронной площадки в следующем порядке: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отозвавшего Заявку до окончания срока приема Заявок, - в течение 3 (трех) рабочих дней со дня поступления уведомления об отзыве Заявки в соответствии с Регламентом Оператора электронной площадки, размещенными на электронной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не допущенного к участи</w:t>
      </w:r>
      <w:r>
        <w:rPr>
          <w:rFonts w:ascii="Times New Roman" w:hAnsi="Times New Roman"/>
          <w:sz w:val="20"/>
          <w:szCs w:val="20"/>
          <w:lang w:eastAsia="en-US"/>
        </w:rPr>
        <w:t xml:space="preserve">ю в аукционе в электронной форме, - в течение 3 (трех)</w:t>
      </w:r>
      <w:r>
        <w:rPr>
          <w:rFonts w:ascii="Times New Roman" w:hAnsi="Times New Roman"/>
          <w:sz w:val="20"/>
          <w:szCs w:val="20"/>
          <w:lang w:eastAsia="en-US"/>
        </w:rPr>
        <w:t xml:space="preserve"> рабочих дней со дня оформления Протокола рассмотрения заявок на участие в аукционе в электр</w:t>
      </w:r>
      <w:r>
        <w:rPr>
          <w:rFonts w:ascii="Times New Roman" w:hAnsi="Times New Roman"/>
          <w:sz w:val="20"/>
          <w:szCs w:val="20"/>
          <w:lang w:eastAsia="en-US"/>
        </w:rPr>
        <w:t xml:space="preserve">онной форме в соответствии с Регламентом Оператора электронной площадки, размещенными на электронной площадке;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Участников, участвовавших в а</w:t>
      </w:r>
      <w:r>
        <w:rPr>
          <w:rFonts w:ascii="Times New Roman" w:hAnsi="Times New Roman"/>
          <w:sz w:val="20"/>
          <w:szCs w:val="20"/>
          <w:lang w:eastAsia="en-US"/>
        </w:rPr>
        <w:t xml:space="preserve">укционе в электронной форме, но не победивших в нем, - в течение 3 (трех) рабочих дней со дня подпи</w:t>
      </w:r>
      <w:r>
        <w:rPr>
          <w:rFonts w:ascii="Times New Roman" w:hAnsi="Times New Roman"/>
          <w:sz w:val="20"/>
          <w:szCs w:val="20"/>
          <w:lang w:eastAsia="en-US"/>
        </w:rPr>
        <w:t xml:space="preserve">сания Протокола о результатах аукциона в электронной форме в соответствии с Регламентом Оператора электронной площадки, размещенными на электронной площадке, за исключением участника аукциона, который сделал предпоследнее предложение о цене предмета аукцио</w:t>
      </w:r>
      <w:r>
        <w:rPr>
          <w:rFonts w:ascii="Times New Roman" w:hAnsi="Times New Roman"/>
          <w:sz w:val="20"/>
          <w:szCs w:val="20"/>
          <w:lang w:eastAsia="en-US"/>
        </w:rPr>
        <w:t xml:space="preserve">на. </w:t>
      </w: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таким участником, возвращается ему в течение трех дней со дня подписания договора купли-продажи земельного участка победителем аукциона.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лицом, признанным победителем аукциона, задаток, внесенный иным лицом, с которым договор купли-продажи земельного участка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Земельного кодекса Российской Федерации (далее – Кодекс)</w:t>
      </w:r>
      <w:r>
        <w:rPr>
          <w:rFonts w:ascii="Times New Roman" w:hAnsi="Times New Roman"/>
          <w:sz w:val="20"/>
          <w:szCs w:val="20"/>
          <w:lang w:eastAsia="en-US"/>
        </w:rPr>
        <w:t xml:space="preserve">, засчитываются в оплату приобретаемого земельного участка.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Задатки, внесенные этими лицами, не заключившими в установленном Кодексом порядке договора купли-продажи земельного </w:t>
      </w:r>
      <w:r>
        <w:rPr>
          <w:rFonts w:ascii="Times New Roman" w:hAnsi="Times New Roman"/>
          <w:sz w:val="20"/>
          <w:szCs w:val="20"/>
          <w:lang w:eastAsia="en-US"/>
        </w:rPr>
        <w:t xml:space="preserve">участка вследствие уклонения от заключения указанных договоров, не возвращаются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Осмотр земельного участка осуществляется претендентами самостоятельно по месту нахождения участка.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9. Вз</w:t>
      </w:r>
      <w:r>
        <w:rPr>
          <w:rFonts w:ascii="Times New Roman" w:hAnsi="Times New Roman"/>
          <w:sz w:val="20"/>
          <w:szCs w:val="20"/>
        </w:rPr>
        <w:t xml:space="preserve">имание оператором электронной площадки с победителя электронного аукциона или иных лиц, с которыми в соответствии с пунктами 13, 14, 20 и 25 статьи 39.12 Кодекса заключается договор купли-продажи земельного </w:t>
      </w:r>
      <w:r>
        <w:rPr>
          <w:rFonts w:ascii="Times New Roman" w:hAnsi="Times New Roman"/>
          <w:sz w:val="20"/>
          <w:szCs w:val="20"/>
        </w:rPr>
        <w:t xml:space="preserve">участка, находящегося в государственной или муниципальной собственности, платы за участие в электронном аукционе производится в соответствии с регламентом и иными регулирующими документами оператора электронной площадки </w:t>
      </w:r>
      <w:hyperlink r:id="rId11" w:tooltip="https://www.rts-tender.ru/" w:history="1">
        <w:r>
          <w:rPr>
            <w:rStyle w:val="761"/>
            <w:rFonts w:ascii="Times New Roman" w:hAnsi="Times New Roman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во вкладке ТАРИФЫ/ИМУЩЕСТВЕННЫЕ ТОРГИ.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10</w:t>
      </w:r>
      <w:r>
        <w:rPr>
          <w:rFonts w:ascii="Times New Roman" w:hAnsi="Times New Roman"/>
          <w:b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М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есто, дата, время и порядок определения участников аукциона: 28 октября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202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5 года в 10 час. 00 мин</w:t>
      </w:r>
      <w:r>
        <w:rPr>
          <w:rFonts w:ascii="Times New Roman" w:hAnsi="Times New Roman"/>
          <w:sz w:val="20"/>
          <w:szCs w:val="20"/>
          <w:highlight w:val="white"/>
        </w:rPr>
        <w:t xml:space="preserve">. На электронной площадке </w:t>
      </w:r>
      <w:hyperlink r:id="rId12" w:tooltip="http://www.rts-tender.ru/" w:history="1">
        <w:r>
          <w:rPr>
            <w:rStyle w:val="761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1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(ООО «РТС-тендер»).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Организатор рассматривает заявки и документы заявителей (претендентов) и устанавливает факт поступления на счёт установленных сумм задатков.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Определение участников аукциона проводится без участия заявителей (претендентов). 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По результатам рассмотрения заявок и документов организатор принимает решение о признании заявителей участниками аукциона.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Заявитель, допущенный к участию в аукционе, приобретает статус участника аукциона с момента оформления организатором протокола рассмотрения заявок на участие в аукционе.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11.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Дата, место, время и порядок проведения аукциона: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29 октября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5 года в 10 час. 00 мин. </w:t>
      </w:r>
      <w:r>
        <w:rPr>
          <w:rFonts w:ascii="Times New Roman" w:hAnsi="Times New Roman"/>
          <w:sz w:val="20"/>
          <w:szCs w:val="20"/>
          <w:highlight w:val="white"/>
        </w:rPr>
        <w:t xml:space="preserve">на электронной площадке </w:t>
      </w:r>
      <w:hyperlink r:id="rId13" w:tooltip="https://www.rts-tender.ru/" w:history="1"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https://www.rts-tender</w:t>
        </w:r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 соответствии с регламентом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12. Победителем признается участник, предложивший в ходе аукциона наибольшую цену.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13.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результатам проведения электронного аукциона договор купли - продажи земельного участка, находящегося в государственной или муниципальной собственности, заключается в электронной форме и подписывается усиленной квалифици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рованной электронной подписью сторон такого договора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Не допускается заключение договора ранее чем через 10 (десять) дней со дня размещения информации о результатах аукциона на официальном сайте, в том числе договоров, указанных в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пунктах 13</w:t>
      </w:r>
      <w:r>
        <w:rPr>
          <w:rFonts w:ascii="Times New Roman" w:hAnsi="Times New Roman"/>
          <w:sz w:val="20"/>
          <w:szCs w:val="20"/>
        </w:rPr>
        <w:t xml:space="preserve"> и </w:t>
      </w:r>
      <w:r>
        <w:rPr>
          <w:rFonts w:ascii="Times New Roman" w:hAnsi="Times New Roman"/>
          <w:sz w:val="20"/>
          <w:szCs w:val="20"/>
        </w:rPr>
        <w:t xml:space="preserve">14</w:t>
      </w:r>
      <w:r>
        <w:rPr>
          <w:rFonts w:ascii="Times New Roman" w:hAnsi="Times New Roman"/>
          <w:sz w:val="20"/>
          <w:szCs w:val="20"/>
        </w:rPr>
        <w:t xml:space="preserve"> Кодекса.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 случае, если в аукционе участвовал только один участник или при проведении аукциона не присутствовал ни один из участников аукциона, либо не поступило ни одного п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редложения о цене предмета аукциона, которое предусматривало бы более высокую цену предмета аукциона, аукцион признается несосто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явшимся.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Если единственная заявка на участие в аукционе соответствует указанным в извещении о проведении аукциона условиям 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лицо, подавшее указанную заявку, соответствуют требованиям к участникам аукциона, указанным в извещении о проведении аукциона, Организатор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заключает с таким лицом договор купли – продажи земельного участка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начальной цене предмета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14:ligatures w14:val="none"/>
        </w:rPr>
      </w:r>
      <w:r>
        <w:rPr>
          <w:rFonts w:ascii="Times New Roman" w:hAnsi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t xml:space="preserve">Организатор направляет победителю аукциона или единственному принявшему участие в аукционе его участнику  подписанный проекта договора купли - продажи земельного участка в пятидневный срок со дня истечения 10 (десяти) дней после</w:t>
      </w:r>
      <w:r>
        <w:rPr>
          <w:rFonts w:ascii="Times New Roman" w:hAnsi="Times New Roman"/>
          <w:sz w:val="20"/>
          <w:szCs w:val="20"/>
        </w:rPr>
        <w:t xml:space="preserve"> размещения информации о результатах аукциона на официальном сайте</w:t>
      </w:r>
      <w:r>
        <w:rPr>
          <w:rFonts w:ascii="Times New Roman" w:hAnsi="Times New Roman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При этом договор купли - 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Победитель аукциона в электронной форме или иное лицо, с которым заключается договор купли – продажи </w:t>
      </w:r>
      <w:r>
        <w:rPr>
          <w:rFonts w:ascii="Times New Roman" w:hAnsi="Times New Roman"/>
          <w:sz w:val="20"/>
          <w:szCs w:val="20"/>
          <w:lang w:eastAsia="en-US"/>
        </w:rPr>
        <w:t xml:space="preserve">земельного участка в соответствии с К</w:t>
      </w:r>
      <w:r>
        <w:rPr>
          <w:rFonts w:ascii="Times New Roman" w:hAnsi="Times New Roman"/>
          <w:sz w:val="20"/>
          <w:szCs w:val="20"/>
          <w:lang w:eastAsia="en-US"/>
        </w:rPr>
        <w:t xml:space="preserve">одексом, обязаны подписать договор в течение 10 (десяти) рабочих дней со дня направления им такого договора.</w:t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Если договор купли - продажи земельного участка в течение 10 (десяти) рабочих дней со дня направления победителю аукциона проекта указанного договора не был им подписан и представлен Организатору, Организатор направляет у</w:t>
      </w:r>
      <w:r>
        <w:rPr>
          <w:rFonts w:ascii="Times New Roman" w:hAnsi="Times New Roman"/>
          <w:sz w:val="20"/>
          <w:szCs w:val="20"/>
          <w:lang w:eastAsia="en-US"/>
        </w:rPr>
        <w:t xml:space="preserve">казанный договор участнику</w:t>
      </w:r>
      <w:r>
        <w:rPr>
          <w:rFonts w:ascii="Times New Roman" w:hAnsi="Times New Roman"/>
          <w:sz w:val="20"/>
          <w:szCs w:val="20"/>
          <w:lang w:eastAsia="en-US"/>
        </w:rPr>
        <w:t xml:space="preserve"> аукциона, который сделал предпоследнее предложение о цене предмета аукциона, для их заключения по цене, предложенной таким участником аукциона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Сведения о победителях аукциона, уклонившихся от заключения договора купли - продажи земельного участка, являющегося предметом аукциона, и об иных лицах, с которыми указанный договор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Кодекса и которые уклонились от их заключения, </w:t>
      </w:r>
      <w:r>
        <w:rPr>
          <w:rFonts w:ascii="Times New Roman" w:hAnsi="Times New Roman"/>
          <w:sz w:val="20"/>
          <w:szCs w:val="20"/>
          <w:lang w:eastAsia="en-US"/>
        </w:rPr>
        <w:t xml:space="preserve">Организатор направляет сведения в Федеральную антимонопольную службу России для включения в реестр недобросовестных участников аукциона. 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случае, если в течение 10 (десяти) рабочих дней со дня направления Участнику, который сделал предпоследнее предложение о цене Предмета аукциона, этот Участник не представил Организатору подписанный со своей стороны указанный договор</w:t>
      </w:r>
      <w:r>
        <w:rPr>
          <w:rFonts w:ascii="Times New Roman" w:hAnsi="Times New Roman"/>
          <w:sz w:val="20"/>
          <w:szCs w:val="20"/>
          <w:lang w:eastAsia="en-US"/>
        </w:rPr>
        <w:t xml:space="preserve">, Организатор</w:t>
      </w:r>
      <w:r>
        <w:rPr>
          <w:rFonts w:ascii="Times New Roman" w:hAnsi="Times New Roman"/>
          <w:sz w:val="20"/>
          <w:szCs w:val="20"/>
          <w:lang w:eastAsia="en-US"/>
        </w:rPr>
        <w:t xml:space="preserve"> вправе объявить о проведении повторного аукциона в электронной форме или распорядиться земельным участком иным образом в соответствии с Кодексом.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14. </w:t>
      </w:r>
      <w:r>
        <w:rPr>
          <w:rFonts w:ascii="Times New Roman" w:hAnsi="Times New Roman"/>
          <w:sz w:val="20"/>
          <w:szCs w:val="20"/>
        </w:rPr>
        <w:t xml:space="preserve">Организатор </w:t>
      </w:r>
      <w:r>
        <w:rPr>
          <w:rFonts w:ascii="Times New Roman" w:hAnsi="Times New Roman"/>
          <w:sz w:val="20"/>
          <w:szCs w:val="20"/>
        </w:rPr>
        <w:t xml:space="preserve">аукциона вправе отказаться от процедуры проведения аукциона в соответствии с пунктом 4 статьи 448 Гражданского кодекса Российской Федерации.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В течение 3 (трех) дней со дня принятия решения об отказе в проведении аукциона организатор аукциона обязан известить участников аукциона об отказе в проведе</w:t>
      </w:r>
      <w:r>
        <w:rPr>
          <w:rFonts w:ascii="Times New Roman" w:hAnsi="Times New Roman"/>
          <w:sz w:val="20"/>
          <w:szCs w:val="20"/>
        </w:rPr>
        <w:t xml:space="preserve">нии </w:t>
      </w:r>
      <w:r>
        <w:rPr>
          <w:rFonts w:ascii="Times New Roman" w:hAnsi="Times New Roman"/>
          <w:sz w:val="20"/>
          <w:szCs w:val="20"/>
        </w:rPr>
        <w:t xml:space="preserve">аукциона и возвратить его участникам внесенные задатки.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15. Градостроительный план земельного участка от 12.08.2025 № РФ-44-2-01-0-00-2025-0468-0 является приложением к настоящему извещению (приложение 3)</w:t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Ознакомиться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с градостроительным планом земельного участка возможно на официальном сайте Российской Федераци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(http://torgi.gov.ru),  на официальном сайте Администрации города Костромы (http://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grad.kostroma.gov.ru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н</w:t>
      </w:r>
      <w:r>
        <w:rPr>
          <w:rFonts w:ascii="Times New Roman" w:hAnsi="Times New Roman"/>
          <w:sz w:val="20"/>
          <w:szCs w:val="20"/>
          <w:highlight w:val="white"/>
        </w:rPr>
        <w:t xml:space="preserve">а электронной площадке </w:t>
      </w:r>
      <w:hyperlink r:id="rId14" w:tooltip="http://www.rts-tender.ru/" w:history="1">
        <w:r>
          <w:rPr>
            <w:rStyle w:val="761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1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(ООО «РТС-тендер»)</w:t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6"/>
          <w:szCs w:val="26"/>
        </w:rPr>
      </w:pPr>
      <w:r>
        <w:br w:type="page" w:clear="all"/>
      </w:r>
      <w:r>
        <w:rPr>
          <w:rFonts w:ascii="Times New Roman" w:hAnsi="Times New Roman"/>
          <w:sz w:val="26"/>
          <w:szCs w:val="26"/>
        </w:rPr>
      </w:r>
      <w:r>
        <w:rPr>
          <w:rFonts w:ascii="Times New Roman" w:hAnsi="Times New Roman"/>
          <w:sz w:val="26"/>
          <w:szCs w:val="26"/>
        </w:rPr>
      </w:r>
    </w:p>
    <w:p>
      <w:pPr>
        <w:pStyle w:val="733"/>
        <w:ind w:firstLine="709"/>
        <w:jc w:val="right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851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</w:pPr>
      <w:r>
        <w:rPr>
          <w:b/>
          <w:lang w:eastAsia="zh-CN"/>
        </w:rPr>
        <w:t xml:space="preserve">ЗАЯВКА </w:t>
      </w:r>
      <w:r>
        <w:rPr>
          <w:b/>
          <w:sz w:val="22"/>
          <w:szCs w:val="22"/>
          <w:lang w:eastAsia="zh-CN"/>
        </w:rPr>
        <w:t xml:space="preserve">НА УЧАСТИЕ В АУКЦИОНЕ В ЭЛЕКТРОННОЙ ФОРМЕ</w:t>
      </w:r>
      <w:r>
        <w:rPr>
          <w:b/>
          <w:sz w:val="22"/>
          <w:szCs w:val="22"/>
          <w:lang w:eastAsia="zh-CN"/>
        </w:rPr>
      </w:r>
      <w:r/>
    </w:p>
    <w:p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  <w:r/>
    </w:p>
    <w:p>
      <w:r>
        <w:rPr>
          <w:b/>
          <w:sz w:val="19"/>
          <w:szCs w:val="19"/>
          <w:lang w:eastAsia="zh-CN"/>
        </w:rPr>
        <w:t xml:space="preserve">В Управление имущественных и земельных отношений Администрации города Костромы</w:t>
      </w:r>
      <w:r>
        <w:rPr>
          <w:b/>
          <w:sz w:val="19"/>
          <w:szCs w:val="19"/>
          <w:lang w:eastAsia="zh-CN"/>
        </w:rPr>
      </w:r>
      <w:r/>
    </w:p>
    <w:p>
      <w:r>
        <w:rPr>
          <w:b/>
          <w:sz w:val="19"/>
          <w:szCs w:val="19"/>
          <w:lang w:eastAsia="zh-CN"/>
        </w:rPr>
        <w:t xml:space="preserve">Заявитель</w:t>
      </w:r>
      <w:r>
        <w:rPr>
          <w:sz w:val="19"/>
          <w:szCs w:val="19"/>
          <w:lang w:eastAsia="zh-CN"/>
        </w:rPr>
        <w:t xml:space="preserve"> </w:t>
      </w:r>
      <w:r>
        <w:rPr>
          <w:sz w:val="19"/>
          <w:szCs w:val="19"/>
          <w:lang w:eastAsia="zh-CN"/>
        </w:rPr>
      </w:r>
      <w:r/>
    </w:p>
    <w:p>
      <w:pPr>
        <w:pBdr>
          <w:bottom w:val="single" w:color="000000" w:sz="4" w:space="0"/>
        </w:pBdr>
      </w:pP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  <w:r/>
    </w:p>
    <w:p>
      <w:pPr>
        <w:jc w:val="center"/>
      </w:pPr>
      <w:r>
        <w:rPr>
          <w:sz w:val="18"/>
          <w:szCs w:val="18"/>
          <w:lang w:eastAsia="zh-CN"/>
        </w:rPr>
        <w:t xml:space="preserve">           </w:t>
      </w:r>
      <w:r>
        <w:rPr>
          <w:sz w:val="16"/>
          <w:szCs w:val="18"/>
          <w:lang w:eastAsia="zh-CN"/>
        </w:rPr>
        <w:t xml:space="preserve">(</w:t>
      </w:r>
      <w:r>
        <w:rPr>
          <w:bCs/>
          <w:sz w:val="16"/>
          <w:szCs w:val="18"/>
          <w:lang w:eastAsia="zh-CN"/>
        </w:rPr>
        <w:t xml:space="preserve">Ф.И.О. гражданина</w:t>
      </w:r>
      <w:r>
        <w:rPr>
          <w:sz w:val="16"/>
          <w:szCs w:val="18"/>
          <w:lang w:eastAsia="zh-CN"/>
        </w:rPr>
        <w:t xml:space="preserve">)</w:t>
      </w:r>
      <w:r>
        <w:rPr>
          <w:sz w:val="18"/>
          <w:szCs w:val="18"/>
          <w:lang w:eastAsia="zh-CN"/>
        </w:rPr>
      </w:r>
      <w:r/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>
        <w:tblPrEx/>
        <w:trPr>
          <w:trHeight w:val="1410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Заявителя: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№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та выдачи</w:t>
            </w:r>
            <w:r>
              <w:rPr>
                <w:sz w:val="18"/>
                <w:szCs w:val="18"/>
                <w:lang w:eastAsia="zh-CN"/>
              </w:rPr>
              <w:t xml:space="preserve">_______________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выдан:_________________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ОГРНИП (для индивидуального предпринимателя): №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  <w:rPr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ИНН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КПП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ОГРН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179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textDirection w:val="lrTb"/>
            <w:noWrap w:val="false"/>
          </w:tcPr>
          <w:p>
            <w:pPr>
              <w:pBdr>
                <w:bottom w:val="single" w:color="000000" w:sz="4" w:space="0"/>
              </w:pBdr>
            </w:pPr>
            <w:r>
              <w:rPr>
                <w:b/>
                <w:sz w:val="18"/>
                <w:szCs w:val="18"/>
                <w:lang w:eastAsia="zh-CN"/>
              </w:rPr>
              <w:t xml:space="preserve">Представитель Заявителя</w:t>
            </w:r>
            <w:r>
              <w:rPr>
                <w:b/>
                <w:sz w:val="18"/>
                <w:szCs w:val="18"/>
                <w:vertAlign w:val="superscript"/>
                <w:lang w:eastAsia="zh-CN"/>
              </w:rPr>
              <w:footnoteReference w:id="2"/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</w:r>
            <w:r/>
          </w:p>
          <w:p>
            <w:pPr>
              <w:jc w:val="center"/>
            </w:pPr>
            <w:r>
              <w:rPr>
                <w:b/>
                <w:sz w:val="16"/>
                <w:szCs w:val="18"/>
                <w:lang w:eastAsia="zh-CN"/>
              </w:rPr>
              <w:t xml:space="preserve">(Ф.И.О,)</w:t>
            </w:r>
            <w:r>
              <w:rPr>
                <w:b/>
                <w:sz w:val="16"/>
                <w:szCs w:val="18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представителя: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дата выдачи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RepresentativePassportIssuer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  <w:rPr>
                <w:rFonts w:eastAsia="Calibri"/>
                <w:b/>
                <w:bCs/>
                <w:sz w:val="18"/>
                <w:szCs w:val="18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RepresentativePhoneNumber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rFonts w:eastAsia="Calibri"/>
                <w:b/>
                <w:bCs/>
                <w:sz w:val="18"/>
                <w:szCs w:val="18"/>
                <w:lang w:eastAsia="zh-CN"/>
              </w:rPr>
            </w:r>
            <w:r>
              <w:rPr>
                <w:rFonts w:eastAsia="Calibri"/>
                <w:b/>
                <w:bCs/>
                <w:sz w:val="18"/>
                <w:szCs w:val="18"/>
                <w:lang w:eastAsia="zh-CN"/>
              </w:rPr>
            </w:r>
          </w:p>
        </w:tc>
      </w:tr>
    </w:tbl>
    <w:p>
      <w:pPr>
        <w:ind w:hanging="1"/>
        <w:jc w:val="both"/>
        <w:widowControl w:val="off"/>
      </w:pPr>
      <w:r>
        <w:rPr>
          <w:sz w:val="18"/>
          <w:szCs w:val="18"/>
          <w:lang w:eastAsia="zh-CN"/>
        </w:rPr>
        <w:tab/>
      </w:r>
      <w:r>
        <w:rPr>
          <w:b/>
          <w:sz w:val="18"/>
          <w:szCs w:val="18"/>
          <w:lang w:eastAsia="zh-CN"/>
        </w:rPr>
        <w:t xml:space="preserve">принял решение об участии в аукционе по продаже земельного участка </w:t>
      </w:r>
      <w:r>
        <w:rPr>
          <w:b/>
          <w:sz w:val="18"/>
          <w:szCs w:val="18"/>
          <w:lang w:eastAsia="zh-CN"/>
        </w:rPr>
        <w:t xml:space="preserve">с кадастровым номером:_______________________________________, расположенного по адресу (местоположение): ___________________________________________________________________________, в электронной форме, и обязуется обеспечить поступление задатка в размере</w:t>
      </w:r>
      <w:r>
        <w:rPr>
          <w:sz w:val="18"/>
          <w:szCs w:val="18"/>
          <w:u w:val="single"/>
          <w:lang w:eastAsia="zh-CN"/>
        </w:rPr>
        <w:t xml:space="preserve">                                                                            </w:t>
      </w:r>
      <w:r>
        <w:rPr>
          <w:b/>
          <w:sz w:val="18"/>
          <w:szCs w:val="18"/>
          <w:lang w:eastAsia="zh-CN"/>
        </w:rPr>
        <w:t xml:space="preserve">руб.</w:t>
      </w:r>
      <w:r>
        <w:rPr>
          <w:sz w:val="18"/>
          <w:szCs w:val="18"/>
          <w:u w:val="single"/>
          <w:lang w:eastAsia="zh-CN"/>
        </w:rPr>
        <w:t xml:space="preserve">            (сумма прописью)</w:t>
      </w:r>
      <w:r>
        <w:rPr>
          <w:sz w:val="18"/>
          <w:szCs w:val="18"/>
          <w:lang w:eastAsia="zh-CN"/>
        </w:rPr>
        <w:t xml:space="preserve">, </w:t>
      </w:r>
      <w:r>
        <w:rPr>
          <w:b/>
          <w:sz w:val="18"/>
          <w:szCs w:val="18"/>
          <w:lang w:eastAsia="zh-CN"/>
        </w:rPr>
        <w:t xml:space="preserve">в сроки и в порядке, установленные в Извещении о проведении аукциона в электронной форме, и в соответствии с Регламентом Оператора электронной площадки.</w:t>
      </w:r>
      <w:r>
        <w:rPr>
          <w:bCs/>
          <w:lang w:eastAsia="zh-CN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b/>
          <w:sz w:val="18"/>
          <w:szCs w:val="18"/>
        </w:rPr>
        <w:t xml:space="preserve">Банковские реквизиты для возврата задатка:</w:t>
      </w:r>
      <w:r>
        <w:rPr>
          <w:b/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  <w:t xml:space="preserve">Банк ______________________________________________________________________________________________</w:t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  <w:t xml:space="preserve">Расчётный счёт _______________________________ Корреспондентский счёт _______________________________</w:t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  <w:t xml:space="preserve">БИК_________________________________________ Лицевой счёт _________________________________________</w:t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  <w:t xml:space="preserve">Ф. И. О. (наименование) получателя ___________________________________________________________________</w:t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Заявитель обязуется:</w:t>
      </w:r>
      <w:r>
        <w:rPr>
          <w:sz w:val="18"/>
          <w:szCs w:val="18"/>
          <w:lang w:eastAsia="zh-CN"/>
        </w:rPr>
      </w:r>
      <w:r/>
    </w:p>
    <w:p>
      <w:pPr>
        <w:numPr>
          <w:ilvl w:val="1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Соблюдать условия и порядок проведения аукциона в электронной форме, содержащиеся в Извещении о проведении аукциона в электронной форме и Регламенте Оператора электронной площадки.</w:t>
      </w:r>
      <w:r>
        <w:rPr>
          <w:sz w:val="18"/>
          <w:szCs w:val="18"/>
          <w:vertAlign w:val="superscript"/>
          <w:lang w:eastAsia="zh-CN"/>
        </w:rPr>
        <w:footnoteReference w:id="3"/>
      </w:r>
      <w:r>
        <w:rPr>
          <w:sz w:val="18"/>
          <w:szCs w:val="18"/>
          <w:lang w:eastAsia="zh-CN"/>
        </w:rPr>
      </w:r>
      <w:r/>
    </w:p>
    <w:p>
      <w:pPr>
        <w:numPr>
          <w:ilvl w:val="1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В случае признания Победителем аукциона в электронной форме, а также в иных случаях, предусмо</w:t>
      </w:r>
      <w:r>
        <w:rPr>
          <w:sz w:val="18"/>
          <w:szCs w:val="18"/>
          <w:lang w:eastAsia="zh-CN"/>
        </w:rPr>
        <w:t xml:space="preserve">тренных пунктами 13 и 14 статьи 39.12 Земельного кодекса Российской Федерации, заключить договор с Продавцом в соответствии с порядком, сроками и требованиями, установленными Извещением о проведении аукциона в электронной форме и договором.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Заявитель согласен и принимает все условия, требования, положения Извещени</w:t>
      </w:r>
      <w:r>
        <w:rPr>
          <w:sz w:val="18"/>
          <w:szCs w:val="18"/>
          <w:lang w:eastAsia="zh-CN"/>
        </w:rPr>
        <w:t xml:space="preserve">я о проведении аукциона в электронной форме, проекта договора и Регламента Оператора электронной площадки, и они ему понятны. Заявителю известны сведения о Земельном участке, Заявитель надлежащим образом ознакомлен с реальным состоянием Земельного участка </w:t>
      </w:r>
      <w:r>
        <w:rPr>
          <w:b/>
          <w:sz w:val="18"/>
          <w:szCs w:val="18"/>
          <w:lang w:eastAsia="zh-CN"/>
        </w:rPr>
        <w:t xml:space="preserve">и не имеет претензий к ним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  <w:tabs>
          <w:tab w:val="num" w:pos="142" w:leader="none"/>
        </w:tabs>
      </w:pPr>
      <w:r>
        <w:rPr>
          <w:sz w:val="18"/>
          <w:szCs w:val="18"/>
          <w:lang w:eastAsia="zh-CN"/>
        </w:rPr>
        <w:t xml:space="preserve">Ответственность за достоверность представленных документов и информации несет Заявитель. 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  <w:tabs>
          <w:tab w:val="num" w:pos="142" w:leader="none"/>
        </w:tabs>
      </w:pPr>
      <w:r>
        <w:rPr>
          <w:sz w:val="18"/>
          <w:szCs w:val="18"/>
          <w:lang w:eastAsia="zh-CN"/>
        </w:rPr>
        <w:t xml:space="preserve">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 они ему понятны.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  <w:tabs>
          <w:tab w:val="num" w:pos="142" w:leader="none"/>
        </w:tabs>
      </w:pPr>
      <w:r>
        <w:rPr>
          <w:sz w:val="18"/>
          <w:szCs w:val="18"/>
          <w:lang w:eastAsia="zh-CN"/>
        </w:rPr>
        <w:t xml:space="preserve">Заявитель заявляет о своем соответствии условиям отнесения к субъектам малого и среднего предпринимательства в соответствии с частью 5 статьи 4</w:t>
      </w:r>
      <w:r>
        <w:rPr>
          <w:sz w:val="18"/>
          <w:szCs w:val="18"/>
          <w:lang w:eastAsia="zh-CN"/>
        </w:rPr>
        <w:t xml:space="preserve"> Федерального закона от 24.07.2007 № 209-ФЗ «О развитии малого и среднего предпринимательства в Российской Федерации» (в случае проведения аукциона в электронной форме, участниками которого могут быть только субъекты малого и среднего предпринимательства) </w:t>
      </w:r>
      <w:r>
        <w:rPr>
          <w:sz w:val="17"/>
          <w:szCs w:val="17"/>
          <w:vertAlign w:val="superscript"/>
          <w:lang w:eastAsia="zh-CN"/>
        </w:rPr>
        <w:footnoteReference w:id="4"/>
      </w:r>
      <w:r>
        <w:rPr>
          <w:sz w:val="17"/>
          <w:szCs w:val="17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  <w:tabs>
          <w:tab w:val="num" w:pos="142" w:leader="none"/>
        </w:tabs>
      </w:pPr>
      <w:r>
        <w:rPr>
          <w:sz w:val="18"/>
          <w:szCs w:val="18"/>
          <w:lang w:eastAsia="zh-CN"/>
        </w:rPr>
        <w:t xml:space="preserve">Заявитель осведомлен и согласен с тем, что Продавец/Организатор аукциона в электронной форме не несут ответственности за ущерб, который может быть причинен Заявителю отменой аукциона в эле</w:t>
      </w:r>
      <w:r>
        <w:rPr>
          <w:sz w:val="18"/>
          <w:szCs w:val="18"/>
          <w:lang w:eastAsia="zh-CN"/>
        </w:rPr>
        <w:t xml:space="preserve">ктронной форме, внесением изменений в Извещение о проведении аукциона в электронной форме, а также приостановлением процедуры проведения аукциона в электронной форме. При этом Заявитель считается уведомленным об отмене аукциона в электронной форме, внесени</w:t>
      </w:r>
      <w:r>
        <w:rPr>
          <w:sz w:val="18"/>
          <w:szCs w:val="18"/>
          <w:lang w:eastAsia="zh-CN"/>
        </w:rPr>
        <w:t xml:space="preserve">и изменений в Извещение о проведении аукциона в электронной форме с даты публикации информации об отмене аукциона в электронной форме, внесении изменений в Извещение о проведении аукциона в электронной форме на официальном сайте торгов Российской Федерации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lang w:eastAsia="zh-CN"/>
        </w:rPr>
        <w:t xml:space="preserve">в информационно-телекоммуникационной сети «Интернет» для размещения информации о проведении торгов www.torgi.gov.</w:t>
      </w:r>
      <w:r>
        <w:rPr>
          <w:color w:val="000000"/>
          <w:sz w:val="18"/>
          <w:szCs w:val="18"/>
          <w:lang w:eastAsia="zh-CN"/>
        </w:rPr>
        <w:t xml:space="preserve">ruи сайте Оператора электронной площадки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/>
    </w:p>
    <w:p>
      <w:pPr>
        <w:ind w:left="142" w:hanging="142"/>
        <w:jc w:val="both"/>
      </w:pPr>
      <w:r>
        <w:rPr>
          <w:sz w:val="18"/>
          <w:szCs w:val="18"/>
          <w:lang w:eastAsia="zh-CN"/>
        </w:rPr>
        <w:t xml:space="preserve">8.В соответствии с Ф</w:t>
      </w:r>
      <w:r>
        <w:rPr>
          <w:sz w:val="18"/>
          <w:szCs w:val="18"/>
          <w:lang w:eastAsia="zh-CN"/>
        </w:rPr>
        <w:t xml:space="preserve">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представленных документах, в цел</w:t>
      </w:r>
      <w:r>
        <w:rPr>
          <w:sz w:val="18"/>
          <w:szCs w:val="18"/>
          <w:lang w:eastAsia="zh-CN"/>
        </w:rPr>
        <w:t xml:space="preserve">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</w:t>
      </w:r>
      <w:r>
        <w:rPr>
          <w:sz w:val="18"/>
          <w:szCs w:val="18"/>
          <w:lang w:eastAsia="zh-CN"/>
        </w:rPr>
        <w:t xml:space="preserve">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</w:t>
      </w:r>
      <w:r>
        <w:rPr>
          <w:sz w:val="18"/>
          <w:szCs w:val="18"/>
          <w:lang w:eastAsia="zh-CN"/>
        </w:rPr>
        <w:t xml:space="preserve">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  <w:r>
        <w:rPr>
          <w:sz w:val="18"/>
          <w:szCs w:val="18"/>
          <w:lang w:eastAsia="zh-CN"/>
        </w:rPr>
      </w:r>
      <w:r/>
    </w:p>
    <w:p>
      <w:pPr>
        <w:spacing w:after="160" w:line="259" w:lineRule="auto"/>
      </w:pPr>
      <w:r>
        <w:rPr>
          <w:szCs w:val="28"/>
          <w:lang w:eastAsia="zh-CN"/>
        </w:rPr>
      </w:r>
      <w:r>
        <w:rPr>
          <w:szCs w:val="28"/>
          <w:lang w:eastAsia="zh-CN"/>
        </w:rPr>
      </w:r>
      <w:r/>
    </w:p>
    <w:p>
      <w:pPr>
        <w:spacing w:after="160" w:line="259" w:lineRule="auto"/>
        <w:rPr>
          <w:b/>
          <w:sz w:val="18"/>
          <w:szCs w:val="18"/>
          <w:lang w:eastAsia="zh-CN"/>
        </w:rPr>
      </w:pPr>
      <w:r>
        <w:rPr>
          <w:szCs w:val="28"/>
          <w:lang w:eastAsia="zh-CN"/>
        </w:rPr>
        <w:t xml:space="preserve">Подписано усиленной квалифицированной электронной подписью</w:t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tbl>
      <w:tblPr>
        <w:tblStyle w:val="933"/>
        <w:tblW w:w="5000" w:type="pct"/>
        <w:tblBorders>
          <w:insideH w:val="none" w:color="000000" w:sz="0" w:space="0"/>
          <w:insideV w:val="none" w:color="000000" w:sz="0" w:space="0"/>
        </w:tblBorders>
        <w:tblCellMar>
          <w:left w:w="85" w:type="dxa"/>
          <w:top w:w="28" w:type="dxa"/>
          <w:right w:w="85" w:type="dxa"/>
          <w:bottom w:w="28" w:type="dxa"/>
        </w:tblCellMar>
        <w:tblLook w:val="04A0" w:firstRow="1" w:lastRow="0" w:firstColumn="1" w:lastColumn="0" w:noHBand="0" w:noVBand="1"/>
      </w:tblPr>
      <w:tblGrid>
        <w:gridCol w:w="9345"/>
      </w:tblGrid>
      <w:tr>
        <w:tblPrEx/>
        <w:trPr>
          <w:trHeight w:val="262"/>
        </w:trPr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spacing w:before="120"/>
              <w:rPr>
                <w:bCs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электронной подписи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Владелец: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Организация: </w:t>
            </w:r>
            <w:r>
              <w:rPr>
                <w:sz w:val="16"/>
                <w:szCs w:val="16"/>
                <w:lang w:eastAsia="zh-CN"/>
              </w:rPr>
              <w:fldChar w:fldCharType="begin"/>
            </w:r>
            <w:r>
              <w:rPr>
                <w:sz w:val="16"/>
                <w:szCs w:val="16"/>
                <w:lang w:eastAsia="zh-CN"/>
              </w:rPr>
              <w:instrText xml:space="preserve"> Документ</w:instrText>
            </w:r>
            <w:r>
              <w:rPr>
                <w:sz w:val="16"/>
                <w:szCs w:val="16"/>
                <w:lang w:eastAsia="zh-CN"/>
              </w:rPr>
              <w:instrText xml:space="preserve">_</w:instrText>
            </w:r>
            <w:r>
              <w:rPr>
                <w:sz w:val="16"/>
                <w:szCs w:val="16"/>
                <w:lang w:eastAsia="zh-CN"/>
              </w:rPr>
              <w:instrText xml:space="preserve">ЭлПодпись_Организация_Участник </w:instrText>
            </w:r>
            <w:r>
              <w:rPr>
                <w:sz w:val="16"/>
                <w:szCs w:val="16"/>
                <w:lang w:eastAsia="zh-CN"/>
              </w:rPr>
              <w:fldChar w:fldCharType="separate"/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.</w:t>
            </w:r>
            <w:r>
              <w:rPr>
                <w:sz w:val="16"/>
                <w:szCs w:val="16"/>
                <w:lang w:eastAsia="zh-CN"/>
              </w:rPr>
              <w:fldChar w:fldCharType="end"/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Подписано: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bCs/>
                <w:lang w:eastAsia="zh-CN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сертификата</w:t>
            </w:r>
            <w:r>
              <w:rPr>
                <w:bCs/>
                <w:lang w:eastAsia="zh-CN"/>
              </w:rPr>
            </w:r>
            <w:r>
              <w:rPr>
                <w:bCs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Серийный номер: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Срок действия: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</w:tbl>
    <w:p>
      <w:pPr>
        <w:pStyle w:val="733"/>
        <w:ind w:left="7655" w:firstLine="0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rPr>
          <w:sz w:val="20"/>
          <w:szCs w:val="20"/>
        </w:rPr>
      </w:pPr>
      <w:r>
        <w:rPr>
          <w:sz w:val="20"/>
          <w:szCs w:val="20"/>
        </w:rPr>
      </w:r>
      <w: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left="7655" w:firstLine="0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ДОГОВОР № 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купли-продажи земельного участка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город Кострома                                                                               ______________ года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Управление имущественных и земельных отношений Администрации города Костромы, в лице ______________________________, действующего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на основании ________________________, именуемый в дальнейшем «Продавец», с одной стороны, и __________________________________________, в лице ________________________________________, действующего на основании _____________________, именуемый в дальнейш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ем «Покупатель», с другой стороны, совместно именуемые «Стороны», на основании протокола о результатах аукциона по продаже земельного участка ____________, руководствуясь Земельным кодексом Российской Федерации, заключили настоящий договор о нижеследующем.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1. Предмет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1.1. Продавец обязуется передать в собственность Покупателя земельный участок площадью _______ м</w:t>
      </w: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 xml:space="preserve">2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с кадастровым номером: ______________________, категория земель: земли населенных пунктов, разрешенное использование: __________________________, по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адресу:_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__________________________________, а Покупатель обязуется принять земельный участок и уплатить за него определенную настоящим договором цену.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1.2. План земельного участка указан в кадастровом паспорте _____________________________, выданном филиалом ФГБУ «ФКП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Росреестра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»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1.3. Земельный участок обременен _________________________________.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2. Цена договора и порядок оплаты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2.1. Цена продажи земельного участка составляет ______________________ 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2.2. Покупатель единовременно в течение 10 (десяти) рабочих дней после заключения настоящего договора перечисляет сумму, указанную в пункте 2.1  настоящего договора, безналичным денежным расчетом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(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атель УФК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 Казначейский счет 03100643000000014100;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Банк получателя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КБК 9661140601204000043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назн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ачение платежа: за земельный участок по договору купли-продажи от ___________  № ____.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Перечисленный Продавцу задаток за участие в аукционе по продаже земельного участка в сумме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рублей зачисляется в счет платежа по настоящему договору за земельный участок.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2.3. Факт перечисления денежных средств, указанн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ых в пункте 2.2 настоящего договора, подтверждается выпиской Управления федерального казначейства по Костромской области с лицевого счета Продавца о поступлении денежных средств в бюджет города Костромы и выпиской из лицевого счета Продавца соответственно.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2.4. Обяз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ательство Покупателя по оплате земельного участка считается исполненным надлежащим образом в случае, если денежные средства, указанные в пункте 2.2 настоящего договора, поступили в размере, в срок и на реквизиты, указанные в пункте 2.2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3. Права и обязанности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3.1. Продавец обязан передать земельный участок Покупателю не позднее чем через 5 (пять) дней после дня его полной оплаты. Передача земель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ного участка Продавцом и принятие его Покупателем оформляется подписываемым Сторонами актом приема-передачи. Обязательство Продавца по передаче земельного участка считается исполненным надлежащим образом с момента подписания Сторонами акта приема-передачи.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 Покупатель обязан: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3.2.1. оплатить стоимость земельного участка в размере, сроки и в порядке, установленные настоящим договором;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3.2.2. содержать земельный участок в надлежащем санитарном и техническом состоянии в соответствии с действующим законодательством.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4. Ответственность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4.1. Стороны несут ответственность за ненадлежащее выполнение условий настоящего договора в соответствии с законодательством Российской Федерации.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4.2. За нарушение срока перечисления денежных средств, указанных в пункте 2.2 настоящего договора,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и/или неполное их перечисление, Покупатель уплачивает Продавцу неустойку в виде пени за каждый день просрочки в размере 1/150 ставки рефинансирования Центрального Банка Российской Федерации, действующей на дату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выполнения денежного обязательства.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чатель УФК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40102810145370000103;Казначейский счет 03100643000000014100; Банк получателя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34701000; КБК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96611607090040002140</w:t>
      </w:r>
      <w:r>
        <w:rPr>
          <w:rFonts w:ascii="Times New Roman" w:hAnsi="Times New Roman" w:cs="Times New Roman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4.3. Уплата неустойки не освобождает Покупателя 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т исполнения обязательств по настоящему договору.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5. Возникновение права собственности и действие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5.1. Настоящий договор признается заключенным с момента его подписания Сторонами.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5.2. Отношения между Сторонами по настоящему договору прекращаются при исполнении ими всех его условий.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5.3. Право собственности на земельный участок возникает у Покупателя с момента государственной регистрации в Управлении Федеральной службы государственной регистрации, кадастра и картографии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6. Расторжение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6.1. Настоящий договор может быть расторгнут по основаниям, установленным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6.2. В случае расторжения настоящего договора в связи с нарушением Покупателем его условий он уплачивает Продавцу штраф в размере 50 (пятидесяти) процентов от цены продажи земельного участка, указанной в пункте 2.1 настоящего договора.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6.3. Расторжение настоящего договора не освобождает Покупателя от выплаты неустойки, установленной в пункте 4.2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7. Заключительные положения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7.1. До заключения настоящего договора Покупатель ознакомился с состоянием земельного участка.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7.2. Сроки, указанные в настоящем договоре, исчисляются днями. Течение срока начинается на следующий день после наступления события, которым определено его начало.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7.3. Споры, возникающие при исполнении настоящего договора, разрешаются Сторонами в порядке, установленном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7.4. Отношения Сторон, не урегулированные настоящим договором, регулируются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7.5. Изменения и дополнения к настоящему договору считаются действительными, если совершены в письменной форме и подписаны Сторонами или их уполномоченными представителями.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right="0" w:firstLine="540"/>
        <w:jc w:val="both"/>
        <w:spacing w:before="0" w:after="0" w:line="288" w:lineRule="atLeast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7.6. </w:t>
      </w:r>
      <w:r>
        <w:rPr>
          <w:rFonts w:ascii="Times New Roman" w:hAnsi="Times New Roman" w:cs="Times New Roman"/>
          <w:sz w:val="20"/>
          <w:szCs w:val="20"/>
        </w:rPr>
        <w:t xml:space="preserve">Насто</w:t>
      </w:r>
      <w:r>
        <w:rPr>
          <w:rFonts w:ascii="Times New Roman" w:hAnsi="Times New Roman" w:cs="Times New Roman"/>
          <w:sz w:val="20"/>
          <w:szCs w:val="20"/>
        </w:rPr>
        <w:t xml:space="preserve">ящий Договор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заключается в электронной форме и подписывается усиленной квалифицированной электронной подписью сторон такого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8. Юридические адреса и реквизиты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Продавец: Управление имущественных и земельных отношений Администрации города Костромы, место нахождения и почтовый адрес: 156005, город Кострома, площадь Конституции, дом 2.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Покупатель: _______________________________________________________________________________ _______________________________________________________________________________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9. Подписи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10420" w:type="dxa"/>
        <w:tblLayout w:type="fixed"/>
        <w:tblLook w:val="0000" w:firstRow="0" w:lastRow="0" w:firstColumn="0" w:lastColumn="0" w:noHBand="0" w:noVBand="0"/>
      </w:tblPr>
      <w:tblGrid>
        <w:gridCol w:w="5210"/>
        <w:gridCol w:w="5210"/>
      </w:tblGrid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Продавец: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Покупатель: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Управление имущественных и земельных отношений Администрации города Костромы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</w:tbl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Приложение 3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7655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pStyle w:val="733"/>
        <w:jc w:val="both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64691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both"/>
        <w:rPr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11664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highlight w:val="none"/>
        </w:rPr>
      </w:r>
    </w:p>
    <w:p>
      <w:pPr>
        <w:jc w:val="both"/>
        <w:rPr>
          <w:sz w:val="20"/>
          <w:szCs w:val="20"/>
        </w:rPr>
      </w:pPr>
      <w:r>
        <w:rPr>
          <w:highlight w:val="none"/>
        </w:rPr>
      </w:r>
      <w:r>
        <w:rPr>
          <w:highlight w:val="none"/>
        </w:rPr>
      </w:r>
      <w:r>
        <w:rPr>
          <w:sz w:val="20"/>
          <w:szCs w:val="20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79770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94736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29722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62262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90111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1664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38026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64075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82514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20210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23392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5511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both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17990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sectPr>
      <w:footnotePr>
        <w:numFmt w:val="decimal"/>
      </w:footnotePr>
      <w:endnotePr/>
      <w:type w:val="nextPage"/>
      <w:pgSz w:w="11906" w:h="16838" w:orient="portrait"/>
      <w:pgMar w:top="567" w:right="709" w:bottom="539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50102010706020507"/>
  </w:font>
  <w:font w:name="Verdana">
    <w:panose1 w:val="020B0604030504040204"/>
  </w:font>
  <w:font w:name="Calibri">
    <w:panose1 w:val="020F0502020204030204"/>
  </w:font>
  <w:font w:name="Courier New">
    <w:panose1 w:val="02070309020205020404"/>
  </w:font>
  <w:font w:name="Mangal">
    <w:panose1 w:val="02040503050203030202"/>
  </w:font>
  <w:font w:name="Wingdings">
    <w:panose1 w:val="05000000000000000000"/>
  </w:font>
  <w:font w:name="a_Timer">
    <w:panose1 w:val="02000603000000000000"/>
  </w:font>
  <w:font w:name="Liberation Sans">
    <w:panose1 w:val="020B0604020202020204"/>
  </w:font>
  <w:font w:name="Segoe UI">
    <w:panose1 w:val="020B0502040204020203"/>
  </w:font>
  <w:font w:name="Microsoft YaHei">
    <w:panose1 w:val="020B05030202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rPr>
          <w:sz w:val="12"/>
        </w:rPr>
      </w:pPr>
      <w:r>
        <w:separator/>
      </w:r>
      <w:r>
        <w:rPr>
          <w:sz w:val="12"/>
        </w:rPr>
      </w:r>
      <w:r>
        <w:rPr>
          <w:sz w:val="12"/>
        </w:rPr>
      </w:r>
    </w:p>
  </w:footnote>
  <w:footnote w:type="continuationSeparator" w:id="0">
    <w:p>
      <w:pPr>
        <w:rPr>
          <w:sz w:val="12"/>
        </w:rPr>
      </w:pPr>
      <w:r>
        <w:continuationSeparator/>
      </w:r>
      <w:r>
        <w:rPr>
          <w:sz w:val="12"/>
        </w:rPr>
      </w:r>
      <w:r>
        <w:rPr>
          <w:sz w:val="12"/>
        </w:rPr>
      </w:r>
    </w:p>
  </w:footnote>
  <w:footnote w:id="2">
    <w:p>
      <w:pPr>
        <w:jc w:val="both"/>
      </w:pPr>
      <w:r>
        <w:rPr>
          <w:rStyle w:val="770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лицом, действующим по доверенности.</w:t>
      </w:r>
      <w:r/>
    </w:p>
  </w:footnote>
  <w:footnote w:id="3">
    <w:p>
      <w:pPr>
        <w:pStyle w:val="804"/>
        <w:contextualSpacing/>
        <w:jc w:val="both"/>
        <w:spacing w:line="216" w:lineRule="auto"/>
        <w:rPr>
          <w:lang w:val="ru-RU"/>
        </w:rPr>
      </w:pPr>
      <w:r>
        <w:rPr>
          <w:rStyle w:val="770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Ознакомлен с Регламентом Оператора электронной площадки при регистрации (аккредитации) на электронной площадке</w:t>
      </w:r>
      <w:r>
        <w:rPr>
          <w:lang w:val="ru-RU"/>
        </w:rPr>
      </w:r>
      <w:r>
        <w:rPr>
          <w:lang w:val="ru-RU"/>
        </w:rPr>
      </w:r>
    </w:p>
  </w:footnote>
  <w:footnote w:id="4">
    <w:p>
      <w:pPr>
        <w:pStyle w:val="804"/>
        <w:contextualSpacing/>
        <w:jc w:val="both"/>
        <w:spacing w:line="216" w:lineRule="auto"/>
        <w:rPr>
          <w:lang w:val="ru-RU"/>
        </w:rPr>
      </w:pPr>
      <w:r>
        <w:rPr>
          <w:rStyle w:val="770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в форме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 xml:space="preserve">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</w:t>
      </w:r>
      <w:r>
        <w:rPr>
          <w:sz w:val="18"/>
          <w:szCs w:val="18"/>
          <w:lang w:val="ru-RU"/>
        </w:rPr>
        <w:t xml:space="preserve"> от 24.07.2007 № </w:t>
      </w:r>
      <w:r>
        <w:rPr>
          <w:sz w:val="18"/>
          <w:szCs w:val="18"/>
          <w:lang w:val="ru-RU"/>
        </w:rPr>
        <w:t xml:space="preserve">209-ФЗ «О развитии малого и среднего предпринимательства в Российской Федерации»</w:t>
      </w:r>
      <w:r>
        <w:rPr>
          <w:sz w:val="18"/>
          <w:szCs w:val="18"/>
          <w:lang w:val="ru-RU"/>
        </w:rPr>
        <w:t xml:space="preserve">.</w:t>
      </w:r>
      <w:r>
        <w:rPr>
          <w:lang w:val="ru-RU"/>
        </w:rPr>
      </w:r>
      <w:r>
        <w:rPr>
          <w:lang w:val="ru-RU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4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 w:val="true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8">
    <w:name w:val="Heading 1 Char"/>
    <w:basedOn w:val="743"/>
    <w:link w:val="734"/>
    <w:uiPriority w:val="9"/>
    <w:rPr>
      <w:rFonts w:ascii="Arial" w:hAnsi="Arial" w:eastAsia="Arial" w:cs="Arial"/>
      <w:sz w:val="40"/>
      <w:szCs w:val="40"/>
    </w:rPr>
  </w:style>
  <w:style w:type="character" w:styleId="719">
    <w:name w:val="Heading 2 Char"/>
    <w:basedOn w:val="743"/>
    <w:link w:val="735"/>
    <w:uiPriority w:val="9"/>
    <w:rPr>
      <w:rFonts w:ascii="Arial" w:hAnsi="Arial" w:eastAsia="Arial" w:cs="Arial"/>
      <w:sz w:val="34"/>
    </w:rPr>
  </w:style>
  <w:style w:type="character" w:styleId="720">
    <w:name w:val="Heading 3 Char"/>
    <w:basedOn w:val="743"/>
    <w:link w:val="736"/>
    <w:uiPriority w:val="9"/>
    <w:rPr>
      <w:rFonts w:ascii="Arial" w:hAnsi="Arial" w:eastAsia="Arial" w:cs="Arial"/>
      <w:sz w:val="30"/>
      <w:szCs w:val="30"/>
    </w:rPr>
  </w:style>
  <w:style w:type="character" w:styleId="721">
    <w:name w:val="Heading 4 Char"/>
    <w:basedOn w:val="743"/>
    <w:link w:val="737"/>
    <w:uiPriority w:val="9"/>
    <w:rPr>
      <w:rFonts w:ascii="Arial" w:hAnsi="Arial" w:eastAsia="Arial" w:cs="Arial"/>
      <w:b/>
      <w:bCs/>
      <w:sz w:val="26"/>
      <w:szCs w:val="26"/>
    </w:rPr>
  </w:style>
  <w:style w:type="character" w:styleId="722">
    <w:name w:val="Heading 5 Char"/>
    <w:basedOn w:val="743"/>
    <w:link w:val="738"/>
    <w:uiPriority w:val="9"/>
    <w:rPr>
      <w:rFonts w:ascii="Arial" w:hAnsi="Arial" w:eastAsia="Arial" w:cs="Arial"/>
      <w:b/>
      <w:bCs/>
      <w:sz w:val="24"/>
      <w:szCs w:val="24"/>
    </w:rPr>
  </w:style>
  <w:style w:type="character" w:styleId="723">
    <w:name w:val="Heading 6 Char"/>
    <w:basedOn w:val="743"/>
    <w:link w:val="739"/>
    <w:uiPriority w:val="9"/>
    <w:rPr>
      <w:rFonts w:ascii="Arial" w:hAnsi="Arial" w:eastAsia="Arial" w:cs="Arial"/>
      <w:b/>
      <w:bCs/>
      <w:sz w:val="22"/>
      <w:szCs w:val="22"/>
    </w:rPr>
  </w:style>
  <w:style w:type="character" w:styleId="724">
    <w:name w:val="Heading 7 Char"/>
    <w:basedOn w:val="743"/>
    <w:link w:val="74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5">
    <w:name w:val="Heading 8 Char"/>
    <w:basedOn w:val="743"/>
    <w:link w:val="741"/>
    <w:uiPriority w:val="9"/>
    <w:rPr>
      <w:rFonts w:ascii="Arial" w:hAnsi="Arial" w:eastAsia="Arial" w:cs="Arial"/>
      <w:i/>
      <w:iCs/>
      <w:sz w:val="22"/>
      <w:szCs w:val="22"/>
    </w:rPr>
  </w:style>
  <w:style w:type="character" w:styleId="726">
    <w:name w:val="Heading 9 Char"/>
    <w:basedOn w:val="743"/>
    <w:link w:val="742"/>
    <w:uiPriority w:val="9"/>
    <w:rPr>
      <w:rFonts w:ascii="Arial" w:hAnsi="Arial" w:eastAsia="Arial" w:cs="Arial"/>
      <w:i/>
      <w:iCs/>
      <w:sz w:val="21"/>
      <w:szCs w:val="21"/>
    </w:rPr>
  </w:style>
  <w:style w:type="character" w:styleId="727">
    <w:name w:val="Title Char"/>
    <w:basedOn w:val="743"/>
    <w:link w:val="778"/>
    <w:uiPriority w:val="10"/>
    <w:rPr>
      <w:sz w:val="48"/>
      <w:szCs w:val="48"/>
    </w:rPr>
  </w:style>
  <w:style w:type="character" w:styleId="728">
    <w:name w:val="Subtitle Char"/>
    <w:basedOn w:val="743"/>
    <w:link w:val="779"/>
    <w:uiPriority w:val="11"/>
    <w:rPr>
      <w:sz w:val="24"/>
      <w:szCs w:val="24"/>
    </w:rPr>
  </w:style>
  <w:style w:type="character" w:styleId="729">
    <w:name w:val="Quote Char"/>
    <w:link w:val="780"/>
    <w:uiPriority w:val="29"/>
    <w:rPr>
      <w:i/>
    </w:rPr>
  </w:style>
  <w:style w:type="character" w:styleId="730">
    <w:name w:val="Intense Quote Char"/>
    <w:link w:val="781"/>
    <w:uiPriority w:val="30"/>
    <w:rPr>
      <w:i/>
    </w:rPr>
  </w:style>
  <w:style w:type="character" w:styleId="731">
    <w:name w:val="Endnote Text Char"/>
    <w:link w:val="783"/>
    <w:uiPriority w:val="99"/>
    <w:rPr>
      <w:sz w:val="20"/>
    </w:rPr>
  </w:style>
  <w:style w:type="paragraph" w:styleId="732">
    <w:name w:val="toc 2"/>
    <w:basedOn w:val="733"/>
    <w:next w:val="733"/>
    <w:uiPriority w:val="39"/>
    <w:unhideWhenUsed/>
    <w:pPr>
      <w:ind w:left="283" w:right="0" w:firstLine="0"/>
      <w:spacing w:after="57"/>
    </w:pPr>
  </w:style>
  <w:style w:type="paragraph" w:styleId="733" w:default="1">
    <w:name w:val="Normal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eastAsia="ru-RU" w:bidi="ar-SA"/>
    </w:rPr>
  </w:style>
  <w:style w:type="paragraph" w:styleId="734">
    <w:name w:val="Heading 1"/>
    <w:basedOn w:val="733"/>
    <w:next w:val="733"/>
    <w:link w:val="80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5">
    <w:name w:val="Heading 2"/>
    <w:basedOn w:val="733"/>
    <w:next w:val="733"/>
    <w:link w:val="74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36">
    <w:name w:val="Heading 3"/>
    <w:basedOn w:val="733"/>
    <w:next w:val="733"/>
    <w:link w:val="81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37">
    <w:name w:val="Heading 4"/>
    <w:basedOn w:val="733"/>
    <w:next w:val="733"/>
    <w:link w:val="81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38">
    <w:name w:val="Heading 5"/>
    <w:basedOn w:val="733"/>
    <w:next w:val="733"/>
    <w:link w:val="81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39">
    <w:name w:val="Heading 6"/>
    <w:basedOn w:val="733"/>
    <w:next w:val="733"/>
    <w:link w:val="7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0">
    <w:name w:val="Heading 7"/>
    <w:basedOn w:val="733"/>
    <w:next w:val="733"/>
    <w:link w:val="74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1">
    <w:name w:val="Heading 8"/>
    <w:basedOn w:val="733"/>
    <w:next w:val="733"/>
    <w:link w:val="74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2">
    <w:name w:val="Heading 9"/>
    <w:basedOn w:val="733"/>
    <w:next w:val="733"/>
    <w:link w:val="74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3" w:default="1">
    <w:name w:val="Default Paragraph Font"/>
    <w:uiPriority w:val="1"/>
    <w:semiHidden/>
    <w:unhideWhenUsed/>
    <w:qFormat/>
  </w:style>
  <w:style w:type="character" w:styleId="744" w:customStyle="1">
    <w:name w:val="Заголовок 2 Знак"/>
    <w:basedOn w:val="743"/>
    <w:uiPriority w:val="9"/>
    <w:qFormat/>
    <w:rPr>
      <w:rFonts w:ascii="Arial" w:hAnsi="Arial" w:eastAsia="Arial" w:cs="Arial"/>
      <w:sz w:val="34"/>
    </w:rPr>
  </w:style>
  <w:style w:type="character" w:styleId="745" w:customStyle="1">
    <w:name w:val="Заголовок 6 Знак"/>
    <w:basedOn w:val="743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46" w:customStyle="1">
    <w:name w:val="Заголовок 7 Знак"/>
    <w:basedOn w:val="743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47" w:customStyle="1">
    <w:name w:val="Заголовок 8 Знак"/>
    <w:basedOn w:val="743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48" w:customStyle="1">
    <w:name w:val="Заголовок 9 Знак"/>
    <w:basedOn w:val="743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749" w:customStyle="1">
    <w:name w:val="Заголовок Знак"/>
    <w:basedOn w:val="743"/>
    <w:uiPriority w:val="10"/>
    <w:qFormat/>
    <w:rPr>
      <w:sz w:val="48"/>
      <w:szCs w:val="48"/>
    </w:rPr>
  </w:style>
  <w:style w:type="character" w:styleId="750" w:customStyle="1">
    <w:name w:val="Подзаголовок Знак"/>
    <w:basedOn w:val="743"/>
    <w:uiPriority w:val="11"/>
    <w:qFormat/>
    <w:rPr>
      <w:sz w:val="24"/>
      <w:szCs w:val="24"/>
    </w:rPr>
  </w:style>
  <w:style w:type="character" w:styleId="751" w:customStyle="1">
    <w:name w:val="Цитата 2 Знак"/>
    <w:link w:val="780"/>
    <w:uiPriority w:val="29"/>
    <w:qFormat/>
    <w:rPr>
      <w:i/>
    </w:rPr>
  </w:style>
  <w:style w:type="character" w:styleId="752" w:customStyle="1">
    <w:name w:val="Выделенная цитата Знак"/>
    <w:link w:val="781"/>
    <w:uiPriority w:val="30"/>
    <w:qFormat/>
    <w:rPr>
      <w:i/>
    </w:rPr>
  </w:style>
  <w:style w:type="character" w:styleId="753" w:customStyle="1">
    <w:name w:val="Header Char"/>
    <w:basedOn w:val="743"/>
    <w:uiPriority w:val="99"/>
    <w:qFormat/>
  </w:style>
  <w:style w:type="character" w:styleId="754" w:customStyle="1">
    <w:name w:val="Footer Char"/>
    <w:basedOn w:val="743"/>
    <w:uiPriority w:val="99"/>
    <w:qFormat/>
  </w:style>
  <w:style w:type="character" w:styleId="755" w:customStyle="1">
    <w:name w:val="Caption Char"/>
    <w:uiPriority w:val="99"/>
    <w:qFormat/>
  </w:style>
  <w:style w:type="character" w:styleId="756" w:customStyle="1">
    <w:name w:val="Footnote Text Char"/>
    <w:uiPriority w:val="99"/>
    <w:qFormat/>
    <w:rPr>
      <w:sz w:val="18"/>
    </w:rPr>
  </w:style>
  <w:style w:type="character" w:styleId="757" w:customStyle="1">
    <w:name w:val="Текст концевой сноски Знак"/>
    <w:uiPriority w:val="99"/>
    <w:qFormat/>
    <w:rPr>
      <w:sz w:val="20"/>
    </w:rPr>
  </w:style>
  <w:style w:type="character" w:styleId="758">
    <w:name w:val="Символ концевой сноски"/>
    <w:basedOn w:val="743"/>
    <w:uiPriority w:val="99"/>
    <w:semiHidden/>
    <w:unhideWhenUsed/>
    <w:qFormat/>
    <w:rPr>
      <w:vertAlign w:val="superscript"/>
    </w:rPr>
  </w:style>
  <w:style w:type="character" w:styleId="759">
    <w:name w:val="endnote reference"/>
    <w:rPr>
      <w:vertAlign w:val="superscript"/>
    </w:rPr>
  </w:style>
  <w:style w:type="character" w:styleId="760">
    <w:name w:val="FollowedHyperlink"/>
    <w:basedOn w:val="743"/>
    <w:uiPriority w:val="99"/>
    <w:unhideWhenUsed/>
    <w:qFormat/>
    <w:rPr>
      <w:color w:val="800080"/>
      <w:u w:val="single"/>
    </w:rPr>
  </w:style>
  <w:style w:type="character" w:styleId="761">
    <w:name w:val="Hyperlink"/>
    <w:basedOn w:val="743"/>
    <w:uiPriority w:val="99"/>
    <w:unhideWhenUsed/>
    <w:qFormat/>
    <w:rPr>
      <w:color w:val="0000ff"/>
      <w:u w:val="single"/>
    </w:rPr>
  </w:style>
  <w:style w:type="character" w:styleId="762">
    <w:name w:val="Strong"/>
    <w:basedOn w:val="743"/>
    <w:qFormat/>
    <w:rPr>
      <w:rFonts w:cs="Times New Roman"/>
      <w:b/>
      <w:bCs/>
    </w:rPr>
  </w:style>
  <w:style w:type="character" w:styleId="763" w:customStyle="1">
    <w:name w:val="Верхний колонтитул Знак"/>
    <w:basedOn w:val="743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4" w:customStyle="1">
    <w:name w:val="Нижний колонтитул Знак"/>
    <w:basedOn w:val="743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5" w:customStyle="1">
    <w:name w:val="10"/>
    <w:basedOn w:val="743"/>
    <w:qFormat/>
    <w:rPr>
      <w:rFonts w:ascii="Times New Roman" w:hAnsi="Times New Roman" w:cs="Times New Roman"/>
    </w:rPr>
  </w:style>
  <w:style w:type="character" w:styleId="766" w:customStyle="1">
    <w:name w:val="15"/>
    <w:basedOn w:val="743"/>
    <w:qFormat/>
    <w:rPr>
      <w:rFonts w:ascii="Times New Roman" w:hAnsi="Times New Roman" w:cs="Times New Roman"/>
      <w:color w:val="0000ff"/>
      <w:u w:val="single"/>
    </w:rPr>
  </w:style>
  <w:style w:type="character" w:styleId="767" w:customStyle="1">
    <w:name w:val="16"/>
    <w:basedOn w:val="743"/>
    <w:qFormat/>
    <w:rPr>
      <w:rFonts w:ascii="Times New Roman" w:hAnsi="Times New Roman" w:cs="Times New Roman"/>
    </w:rPr>
  </w:style>
  <w:style w:type="character" w:styleId="768" w:customStyle="1">
    <w:name w:val="rts-text"/>
    <w:basedOn w:val="743"/>
    <w:qFormat/>
  </w:style>
  <w:style w:type="character" w:styleId="769">
    <w:name w:val="Символ сноски"/>
    <w:qFormat/>
    <w:rPr>
      <w:vertAlign w:val="superscript"/>
    </w:rPr>
  </w:style>
  <w:style w:type="character" w:styleId="770">
    <w:name w:val="footnote reference"/>
    <w:rPr>
      <w:vertAlign w:val="superscript"/>
    </w:rPr>
  </w:style>
  <w:style w:type="character" w:styleId="771" w:customStyle="1">
    <w:name w:val="Текст сноски Знак"/>
    <w:basedOn w:val="743"/>
    <w:qFormat/>
    <w:rPr>
      <w:rFonts w:ascii="Times New Roman" w:hAnsi="Times New Roman" w:eastAsia="Times New Roman" w:cs="Times New Roman"/>
      <w:lang w:eastAsia="zh-CN"/>
    </w:rPr>
  </w:style>
  <w:style w:type="character" w:styleId="772" w:customStyle="1">
    <w:name w:val="Текст выноски Знак"/>
    <w:basedOn w:val="743"/>
    <w:link w:val="805"/>
    <w:uiPriority w:val="99"/>
    <w:semiHidden/>
    <w:qFormat/>
    <w:rPr>
      <w:rFonts w:ascii="Segoe UI" w:hAnsi="Segoe UI" w:eastAsia="Times New Roman" w:cs="Segoe UI"/>
      <w:sz w:val="18"/>
      <w:szCs w:val="18"/>
    </w:rPr>
  </w:style>
  <w:style w:type="paragraph" w:styleId="773">
    <w:name w:val="Заголовок"/>
    <w:basedOn w:val="733"/>
    <w:next w:val="774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774">
    <w:name w:val="Body Text"/>
    <w:basedOn w:val="733"/>
    <w:pPr>
      <w:spacing w:before="0" w:after="140" w:line="276" w:lineRule="auto"/>
    </w:pPr>
  </w:style>
  <w:style w:type="paragraph" w:styleId="775">
    <w:name w:val="List"/>
    <w:basedOn w:val="774"/>
    <w:rPr>
      <w:rFonts w:cs="Mangal"/>
    </w:rPr>
  </w:style>
  <w:style w:type="paragraph" w:styleId="776">
    <w:name w:val="Caption"/>
    <w:basedOn w:val="733"/>
    <w:link w:val="755"/>
    <w:qFormat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77">
    <w:name w:val="Указатель"/>
    <w:basedOn w:val="733"/>
    <w:qFormat/>
    <w:pPr>
      <w:suppressLineNumbers/>
    </w:pPr>
    <w:rPr>
      <w:rFonts w:cs="Mangal"/>
    </w:rPr>
  </w:style>
  <w:style w:type="paragraph" w:styleId="778">
    <w:name w:val="Title"/>
    <w:basedOn w:val="733"/>
    <w:next w:val="733"/>
    <w:link w:val="749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79">
    <w:name w:val="Subtitle"/>
    <w:basedOn w:val="733"/>
    <w:next w:val="733"/>
    <w:link w:val="750"/>
    <w:uiPriority w:val="11"/>
    <w:qFormat/>
    <w:pPr>
      <w:spacing w:before="200" w:after="200"/>
    </w:pPr>
  </w:style>
  <w:style w:type="paragraph" w:styleId="780">
    <w:name w:val="Quote"/>
    <w:basedOn w:val="733"/>
    <w:next w:val="733"/>
    <w:link w:val="751"/>
    <w:uiPriority w:val="29"/>
    <w:qFormat/>
    <w:pPr>
      <w:ind w:left="720" w:right="720" w:firstLine="0"/>
    </w:pPr>
    <w:rPr>
      <w:i/>
    </w:rPr>
  </w:style>
  <w:style w:type="paragraph" w:styleId="781">
    <w:name w:val="Intense Quote"/>
    <w:basedOn w:val="733"/>
    <w:next w:val="733"/>
    <w:link w:val="752"/>
    <w:uiPriority w:val="30"/>
    <w:qFormat/>
    <w:pPr>
      <w:ind w:left="720" w:right="720" w:firstLine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82">
    <w:name w:val="Caption"/>
    <w:basedOn w:val="733"/>
    <w:next w:val="733"/>
    <w:link w:val="75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783">
    <w:name w:val="endnote text"/>
    <w:basedOn w:val="733"/>
    <w:link w:val="757"/>
    <w:uiPriority w:val="99"/>
    <w:semiHidden/>
    <w:unhideWhenUsed/>
    <w:rPr>
      <w:sz w:val="20"/>
    </w:rPr>
  </w:style>
  <w:style w:type="paragraph" w:styleId="784">
    <w:name w:val="toc 1"/>
    <w:basedOn w:val="733"/>
    <w:next w:val="733"/>
    <w:uiPriority w:val="39"/>
    <w:unhideWhenUsed/>
    <w:pPr>
      <w:spacing w:before="0" w:after="57"/>
    </w:pPr>
  </w:style>
  <w:style w:type="paragraph" w:styleId="785">
    <w:name w:val="toc 3"/>
    <w:basedOn w:val="733"/>
    <w:next w:val="733"/>
    <w:uiPriority w:val="39"/>
    <w:unhideWhenUsed/>
    <w:pPr>
      <w:ind w:left="567" w:firstLine="0"/>
      <w:spacing w:before="0" w:after="57"/>
    </w:pPr>
  </w:style>
  <w:style w:type="paragraph" w:styleId="786">
    <w:name w:val="toc 4"/>
    <w:basedOn w:val="733"/>
    <w:next w:val="733"/>
    <w:uiPriority w:val="39"/>
    <w:unhideWhenUsed/>
    <w:pPr>
      <w:ind w:left="850" w:firstLine="0"/>
      <w:spacing w:before="0" w:after="57"/>
    </w:pPr>
  </w:style>
  <w:style w:type="paragraph" w:styleId="787">
    <w:name w:val="toc 5"/>
    <w:basedOn w:val="733"/>
    <w:next w:val="733"/>
    <w:uiPriority w:val="39"/>
    <w:unhideWhenUsed/>
    <w:pPr>
      <w:ind w:left="1134" w:firstLine="0"/>
      <w:spacing w:before="0" w:after="57"/>
    </w:pPr>
  </w:style>
  <w:style w:type="paragraph" w:styleId="788">
    <w:name w:val="toc 6"/>
    <w:basedOn w:val="733"/>
    <w:next w:val="733"/>
    <w:uiPriority w:val="39"/>
    <w:unhideWhenUsed/>
    <w:pPr>
      <w:ind w:left="1417" w:firstLine="0"/>
      <w:spacing w:before="0" w:after="57"/>
    </w:pPr>
  </w:style>
  <w:style w:type="paragraph" w:styleId="789">
    <w:name w:val="toc 7"/>
    <w:basedOn w:val="733"/>
    <w:next w:val="733"/>
    <w:uiPriority w:val="39"/>
    <w:unhideWhenUsed/>
    <w:pPr>
      <w:ind w:left="1701" w:firstLine="0"/>
      <w:spacing w:before="0" w:after="57"/>
    </w:pPr>
  </w:style>
  <w:style w:type="paragraph" w:styleId="790">
    <w:name w:val="toc 8"/>
    <w:basedOn w:val="733"/>
    <w:next w:val="733"/>
    <w:uiPriority w:val="39"/>
    <w:unhideWhenUsed/>
    <w:pPr>
      <w:ind w:left="1984" w:firstLine="0"/>
      <w:spacing w:before="0" w:after="57"/>
    </w:pPr>
  </w:style>
  <w:style w:type="paragraph" w:styleId="791">
    <w:name w:val="toc 9"/>
    <w:basedOn w:val="733"/>
    <w:next w:val="733"/>
    <w:uiPriority w:val="39"/>
    <w:unhideWhenUsed/>
    <w:pPr>
      <w:ind w:left="2268" w:firstLine="0"/>
      <w:spacing w:before="0" w:after="57"/>
    </w:pPr>
  </w:style>
  <w:style w:type="paragraph" w:styleId="792">
    <w:name w:val="Index Heading"/>
    <w:basedOn w:val="773"/>
  </w:style>
  <w:style w:type="paragraph" w:styleId="793">
    <w:name w:val="TOC Heading"/>
    <w:uiPriority w:val="39"/>
    <w:unhideWhenUsed/>
    <w:pPr>
      <w:jc w:val="left"/>
      <w:spacing w:before="0" w:after="0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0"/>
      <w:szCs w:val="20"/>
      <w:lang w:val="ru-RU" w:eastAsia="ru-RU" w:bidi="ar-SA"/>
    </w:rPr>
  </w:style>
  <w:style w:type="paragraph" w:styleId="794">
    <w:name w:val="table of figures"/>
    <w:basedOn w:val="733"/>
    <w:next w:val="733"/>
    <w:uiPriority w:val="99"/>
    <w:unhideWhenUsed/>
    <w:qFormat/>
  </w:style>
  <w:style w:type="paragraph" w:styleId="795">
    <w:name w:val="Body Text Indent 3"/>
    <w:basedOn w:val="733"/>
    <w:uiPriority w:val="99"/>
    <w:unhideWhenUsed/>
    <w:qFormat/>
    <w:pPr>
      <w:ind w:left="283" w:firstLine="0"/>
      <w:spacing w:before="0" w:after="120"/>
    </w:pPr>
    <w:rPr>
      <w:sz w:val="16"/>
      <w:szCs w:val="16"/>
    </w:rPr>
  </w:style>
  <w:style w:type="paragraph" w:styleId="796">
    <w:name w:val="Колонтитул"/>
    <w:basedOn w:val="733"/>
    <w:qFormat/>
  </w:style>
  <w:style w:type="paragraph" w:styleId="797">
    <w:name w:val="Header"/>
    <w:basedOn w:val="733"/>
    <w:link w:val="763"/>
    <w:uiPriority w:val="99"/>
    <w:unhideWhenUsed/>
    <w:qFormat/>
  </w:style>
  <w:style w:type="paragraph" w:styleId="798">
    <w:name w:val="Footer"/>
    <w:basedOn w:val="733"/>
    <w:link w:val="764"/>
    <w:uiPriority w:val="99"/>
    <w:unhideWhenUsed/>
    <w:qFormat/>
  </w:style>
  <w:style w:type="paragraph" w:styleId="799">
    <w:name w:val="Normal (Web)"/>
    <w:basedOn w:val="733"/>
    <w:qFormat/>
    <w:pPr>
      <w:jc w:val="both"/>
      <w:spacing w:beforeAutospacing="1" w:afterAutospacing="1" w:line="360" w:lineRule="auto"/>
    </w:pPr>
    <w:rPr>
      <w:rFonts w:ascii="Verdana" w:hAnsi="Verdana"/>
      <w:color w:val="000000"/>
      <w:sz w:val="18"/>
      <w:szCs w:val="18"/>
    </w:rPr>
  </w:style>
  <w:style w:type="paragraph" w:styleId="800">
    <w:name w:val="No Spacing"/>
    <w:uiPriority w:val="1"/>
    <w:qFormat/>
    <w:pPr>
      <w:jc w:val="left"/>
      <w:spacing w:before="0" w:after="0"/>
      <w:widowControl/>
    </w:pPr>
    <w:rPr>
      <w:rFonts w:ascii="Calibri" w:hAnsi="Calibri" w:eastAsia="Times New Roman" w:cs="Times New Roman" w:asciiTheme="minorHAnsi" w:hAnsiTheme="minorHAnsi"/>
      <w:color w:val="auto"/>
      <w:sz w:val="22"/>
      <w:szCs w:val="22"/>
      <w:lang w:val="ru-RU" w:eastAsia="en-US" w:bidi="ar-SA"/>
    </w:rPr>
  </w:style>
  <w:style w:type="paragraph" w:styleId="801" w:customStyle="1">
    <w:name w:val="rezul"/>
    <w:basedOn w:val="733"/>
    <w:qFormat/>
    <w:pPr>
      <w:ind w:firstLine="283"/>
      <w:jc w:val="both"/>
      <w:widowControl w:val="off"/>
    </w:pPr>
    <w:rPr>
      <w:b/>
      <w:szCs w:val="20"/>
      <w:lang w:val="en-US"/>
    </w:rPr>
  </w:style>
  <w:style w:type="paragraph" w:styleId="802" w:customStyle="1">
    <w:name w:val="Заголов1"/>
    <w:basedOn w:val="733"/>
    <w:uiPriority w:val="99"/>
    <w:qFormat/>
    <w:pPr>
      <w:jc w:val="center"/>
      <w:widowControl w:val="off"/>
    </w:pPr>
    <w:rPr>
      <w:rFonts w:ascii="a_Timer" w:hAnsi="a_Timer" w:cs="a_Timer"/>
      <w:lang w:val="en-US"/>
    </w:rPr>
  </w:style>
  <w:style w:type="paragraph" w:styleId="803">
    <w:name w:val="List Paragraph"/>
    <w:basedOn w:val="733"/>
    <w:uiPriority w:val="99"/>
    <w:qFormat/>
    <w:pPr>
      <w:contextualSpacing/>
      <w:ind w:left="720" w:firstLine="0"/>
      <w:spacing w:before="0" w:after="0"/>
    </w:pPr>
  </w:style>
  <w:style w:type="paragraph" w:styleId="804">
    <w:name w:val="footnote text"/>
    <w:basedOn w:val="733"/>
    <w:link w:val="771"/>
    <w:rPr>
      <w:sz w:val="20"/>
      <w:szCs w:val="20"/>
      <w:lang w:eastAsia="zh-CN"/>
    </w:rPr>
  </w:style>
  <w:style w:type="paragraph" w:styleId="805">
    <w:name w:val="Balloon Text"/>
    <w:basedOn w:val="733"/>
    <w:link w:val="772"/>
    <w:uiPriority w:val="99"/>
    <w:semiHidden/>
    <w:unhideWhenUsed/>
    <w:qFormat/>
    <w:rPr>
      <w:rFonts w:ascii="Segoe UI" w:hAnsi="Segoe UI" w:cs="Segoe UI"/>
      <w:sz w:val="18"/>
      <w:szCs w:val="18"/>
    </w:rPr>
  </w:style>
  <w:style w:type="numbering" w:styleId="806" w:default="1">
    <w:name w:val="No List"/>
    <w:uiPriority w:val="99"/>
    <w:semiHidden/>
    <w:unhideWhenUsed/>
    <w:qFormat/>
  </w:style>
  <w:style w:type="table" w:styleId="807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808" w:customStyle="1">
    <w:name w:val="Table Grid Light"/>
    <w:basedOn w:val="807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09">
    <w:name w:val="Plain Table 1"/>
    <w:basedOn w:val="807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0">
    <w:name w:val="Plain Table 2"/>
    <w:basedOn w:val="807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1">
    <w:name w:val="Plain Table 3"/>
    <w:basedOn w:val="807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2">
    <w:name w:val="Plain Table 4"/>
    <w:basedOn w:val="807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Plain Table 5"/>
    <w:basedOn w:val="807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4">
    <w:name w:val="Grid Table 1 Light"/>
    <w:basedOn w:val="807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Grid Table 1 Light - Accent 1"/>
    <w:basedOn w:val="807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 w:customStyle="1">
    <w:name w:val="Grid Table 1 Light - Accent 2"/>
    <w:basedOn w:val="807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Grid Table 1 Light - Accent 3"/>
    <w:basedOn w:val="807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Grid Table 1 Light - Accent 4"/>
    <w:basedOn w:val="807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Grid Table 1 Light - Accent 5"/>
    <w:basedOn w:val="807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Grid Table 1 Light - Accent 6"/>
    <w:basedOn w:val="807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Grid Table 2"/>
    <w:basedOn w:val="807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 w:customStyle="1">
    <w:name w:val="Grid Table 2 - Accent 1"/>
    <w:basedOn w:val="807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 w:customStyle="1">
    <w:name w:val="Grid Table 2 - Accent 2"/>
    <w:basedOn w:val="807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2 - Accent 3"/>
    <w:basedOn w:val="807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2 - Accent 4"/>
    <w:basedOn w:val="807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2 - Accent 5"/>
    <w:basedOn w:val="807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2 - Accent 6"/>
    <w:basedOn w:val="807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Grid Table 3"/>
    <w:basedOn w:val="807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Grid Table 3 - Accent 1"/>
    <w:basedOn w:val="807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 w:customStyle="1">
    <w:name w:val="Grid Table 3 - Accent 2"/>
    <w:basedOn w:val="807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3 - Accent 3"/>
    <w:basedOn w:val="807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3 - Accent 4"/>
    <w:basedOn w:val="807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3 - Accent 5"/>
    <w:basedOn w:val="807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Grid Table 3 - Accent 6"/>
    <w:basedOn w:val="807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Grid Table 4"/>
    <w:basedOn w:val="807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6" w:customStyle="1">
    <w:name w:val="Grid Table 4 - Accent 1"/>
    <w:basedOn w:val="807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ce6f2" w:fill="dce6f2" w:themeFill="accent1" w:themeFillTint="32"/>
      </w:tcPr>
    </w:tblStylePr>
    <w:tblStylePr w:type="band1Vert">
      <w:rPr>
        <w:color w:val="404040"/>
        <w:sz w:val="22"/>
      </w:rPr>
      <w:tcPr>
        <w:shd w:val="clear" w:color="dce6f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5d8ac2" w:fill="5d8ac2" w:themeFill="accent1" w:themeFillTint="EA"/>
        <w:tcBorders>
          <w:top w:val="single" w:color="5D8AC2" w:themeColor="accent1" w:sz="4" w:space="0"/>
          <w:left w:val="single" w:color="5D8AC2" w:themeColor="accent1" w:sz="4" w:space="0"/>
          <w:bottom w:val="single" w:color="5D8AC2" w:themeColor="accent1" w:sz="4" w:space="0"/>
          <w:right w:val="single" w:color="5D8AC2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sz="4" w:space="0"/>
        </w:tcBorders>
      </w:tcPr>
    </w:tblStylePr>
  </w:style>
  <w:style w:type="table" w:styleId="837" w:customStyle="1">
    <w:name w:val="Grid Table 4 - Accent 2"/>
    <w:basedOn w:val="807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  <w:tcBorders>
          <w:top w:val="single" w:color="D99695" w:themeColor="accent2" w:sz="4" w:space="0"/>
          <w:left w:val="single" w:color="D99695" w:themeColor="accent2" w:sz="4" w:space="0"/>
          <w:bottom w:val="single" w:color="D99695" w:themeColor="accent2" w:sz="4" w:space="0"/>
          <w:right w:val="single" w:color="D99695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sz="4" w:space="0"/>
        </w:tcBorders>
      </w:tcPr>
    </w:tblStylePr>
  </w:style>
  <w:style w:type="table" w:styleId="838" w:customStyle="1">
    <w:name w:val="Grid Table 4 - Accent 3"/>
    <w:basedOn w:val="807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abb59" w:fill="9abb59" w:themeFill="accent3" w:themeFillTint="FE"/>
        <w:tcBorders>
          <w:top w:val="single" w:color="9ABB59" w:themeColor="accent3" w:sz="4" w:space="0"/>
          <w:left w:val="single" w:color="9ABB59" w:themeColor="accent3" w:sz="4" w:space="0"/>
          <w:bottom w:val="single" w:color="9ABB59" w:themeColor="accent3" w:sz="4" w:space="0"/>
          <w:right w:val="single" w:color="9ABB59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sz="4" w:space="0"/>
        </w:tcBorders>
      </w:tcPr>
    </w:tblStylePr>
  </w:style>
  <w:style w:type="table" w:styleId="839" w:customStyle="1">
    <w:name w:val="Grid Table 4 - Accent 4"/>
    <w:basedOn w:val="807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  <w:tcBorders>
          <w:top w:val="single" w:color="B2A1C6" w:themeColor="accent4" w:sz="4" w:space="0"/>
          <w:left w:val="single" w:color="B2A1C6" w:themeColor="accent4" w:sz="4" w:space="0"/>
          <w:bottom w:val="single" w:color="B2A1C6" w:themeColor="accent4" w:sz="4" w:space="0"/>
          <w:right w:val="single" w:color="B2A1C6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sz="4" w:space="0"/>
        </w:tcBorders>
      </w:tcPr>
    </w:tblStylePr>
  </w:style>
  <w:style w:type="table" w:styleId="840" w:customStyle="1">
    <w:name w:val="Grid Table 4 - Accent 5"/>
    <w:basedOn w:val="807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41" w:customStyle="1">
    <w:name w:val="Grid Table 4 - Accent 6"/>
    <w:basedOn w:val="807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42">
    <w:name w:val="Grid Table 5 Dark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8a8a8a" w:fill="8a8a8a" w:themeFill="text1" w:themeFillTint="75"/>
      </w:tcPr>
    </w:tblStylePr>
    <w:tblStylePr w:type="band1Vert">
      <w:tcPr>
        <w:shd w:val="clear" w:color="8a8a8a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000000" w:fill="000000" w:themeFill="text1"/>
      </w:tc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</w:style>
  <w:style w:type="table" w:styleId="843" w:customStyle="1">
    <w:name w:val="Grid Table 5 Dark- Accent 1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ec4e0" w:fill="aec4e0" w:themeFill="accent1" w:themeFillTint="75"/>
      </w:tcPr>
    </w:tblStylePr>
    <w:tblStylePr w:type="band1Vert">
      <w:tcPr>
        <w:shd w:val="clear" w:color="aec4e0" w:fill="aec4e0" w:themeFill="accent1" w:themeFillTint="75"/>
      </w:tcPr>
    </w:tblStylePr>
    <w:tblStylePr w:type="firstCol">
      <w:rPr>
        <w:b/>
        <w:color w:val="ffffff"/>
        <w:sz w:val="22"/>
      </w:rPr>
      <w:tcPr>
        <w:shd w:val="clear" w:color="4f81bd" w:fill="4f81bd" w:themeFill="accent1"/>
      </w:tc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cPr>
        <w:shd w:val="clear" w:color="4f81bd" w:fill="4f81bd" w:themeFill="accent1"/>
        <w:tcBorders>
          <w:top w:val="single" w:color="FFFFFF" w:themeColor="light1" w:sz="4" w:space="0"/>
        </w:tcBorders>
      </w:tcPr>
    </w:tblStylePr>
  </w:style>
  <w:style w:type="table" w:styleId="844" w:customStyle="1">
    <w:name w:val="Grid Table 5 Dark - Accent 2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e2aead" w:fill="e2aead" w:themeFill="accent2" w:themeFillTint="75"/>
      </w:tcPr>
    </w:tblStylePr>
    <w:tblStylePr w:type="band1Vert">
      <w:tcPr>
        <w:shd w:val="clear" w:color="e2aead" w:fill="e2aead" w:themeFill="accent2" w:themeFillTint="75"/>
      </w:tcPr>
    </w:tblStylePr>
    <w:tblStylePr w:type="firstCol">
      <w:rPr>
        <w:b/>
        <w:color w:val="ffffff"/>
        <w:sz w:val="22"/>
      </w:rPr>
      <w:tcPr>
        <w:shd w:val="clear" w:color="c0504d" w:fill="c0504d" w:themeFill="accent2"/>
      </w:tc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cPr>
        <w:shd w:val="clear" w:color="c0504d" w:fill="c0504d" w:themeFill="accent2"/>
        <w:tcBorders>
          <w:top w:val="single" w:color="FFFFFF" w:themeColor="light1" w:sz="4" w:space="0"/>
        </w:tcBorders>
      </w:tcPr>
    </w:tblStylePr>
  </w:style>
  <w:style w:type="table" w:styleId="845" w:customStyle="1">
    <w:name w:val="Grid Table 5 Dark - Accent 3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d0dfb2" w:fill="d0dfb2" w:themeFill="accent3" w:themeFillTint="75"/>
      </w:tcPr>
    </w:tblStylePr>
    <w:tblStylePr w:type="band1Vert">
      <w:tcPr>
        <w:shd w:val="clear" w:color="d0dfb2" w:fill="d0dfb2" w:themeFill="accent3" w:themeFillTint="75"/>
      </w:tcPr>
    </w:tblStylePr>
    <w:tblStylePr w:type="firstCol">
      <w:rPr>
        <w:b/>
        <w:color w:val="ffffff"/>
        <w:sz w:val="22"/>
      </w:rPr>
      <w:tcPr>
        <w:shd w:val="clear" w:color="9bbb59" w:fill="9bbb59" w:themeFill="accent3"/>
      </w:tc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cPr>
        <w:shd w:val="clear" w:color="9bbb59" w:fill="9bbb59" w:themeFill="accent3"/>
        <w:tcBorders>
          <w:top w:val="single" w:color="FFFFFF" w:themeColor="light1" w:sz="4" w:space="0"/>
        </w:tcBorders>
      </w:tcPr>
    </w:tblStylePr>
  </w:style>
  <w:style w:type="table" w:styleId="846" w:customStyle="1">
    <w:name w:val="Grid Table 5 Dark- Accent 4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c4b7d4" w:fill="c4b7d4" w:themeFill="accent4" w:themeFillTint="75"/>
      </w:tcPr>
    </w:tblStylePr>
    <w:tblStylePr w:type="band1Vert">
      <w:tcPr>
        <w:shd w:val="clear" w:color="c4b7d4" w:fill="c4b7d4" w:themeFill="accent4" w:themeFillTint="75"/>
      </w:tcPr>
    </w:tblStylePr>
    <w:tblStylePr w:type="firstCol">
      <w:rPr>
        <w:b/>
        <w:color w:val="ffffff"/>
        <w:sz w:val="22"/>
      </w:rPr>
      <w:tcPr>
        <w:shd w:val="clear" w:color="8064a2" w:fill="8064a2" w:themeFill="accent4"/>
      </w:tc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cPr>
        <w:shd w:val="clear" w:color="8064a2" w:fill="8064a2" w:themeFill="accent4"/>
        <w:tcBorders>
          <w:top w:val="single" w:color="FFFFFF" w:themeColor="light1" w:sz="4" w:space="0"/>
        </w:tcBorders>
      </w:tcPr>
    </w:tblStylePr>
  </w:style>
  <w:style w:type="table" w:styleId="847" w:customStyle="1">
    <w:name w:val="Grid Table 5 Dark - Accent 5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cd8e4" w:fill="acd8e4" w:themeFill="accent5" w:themeFillTint="75"/>
      </w:tcPr>
    </w:tblStylePr>
    <w:tblStylePr w:type="band1Vert">
      <w:tcPr>
        <w:shd w:val="clear" w:color="acd8e4" w:fill="acd8e4" w:themeFill="accent5" w:themeFillTint="75"/>
      </w:tcPr>
    </w:tblStylePr>
    <w:tblStylePr w:type="firstCol">
      <w:rPr>
        <w:b/>
        <w:color w:val="ffffff"/>
        <w:sz w:val="22"/>
      </w:rPr>
      <w:tcPr>
        <w:shd w:val="clear" w:color="4bacc6" w:fill="4bacc6" w:themeFill="accent5"/>
      </w:tc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cPr>
        <w:shd w:val="clear" w:color="4bacc6" w:fill="4bacc6" w:themeFill="accent5"/>
        <w:tcBorders>
          <w:top w:val="single" w:color="FFFFFF" w:themeColor="light1" w:sz="4" w:space="0"/>
        </w:tcBorders>
      </w:tcPr>
    </w:tblStylePr>
  </w:style>
  <w:style w:type="table" w:styleId="848" w:customStyle="1">
    <w:name w:val="Grid Table 5 Dark - Accent 6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bceaa" w:fill="fbceaa" w:themeFill="accent6" w:themeFillTint="75"/>
      </w:tcPr>
    </w:tblStylePr>
    <w:tblStylePr w:type="band1Vert">
      <w:tcPr>
        <w:shd w:val="clear" w:color="fbceaa" w:fill="fbceaa" w:themeFill="accent6" w:themeFillTint="75"/>
      </w:tcPr>
    </w:tblStylePr>
    <w:tblStylePr w:type="firstCol">
      <w:rPr>
        <w:b/>
        <w:color w:val="ffffff"/>
        <w:sz w:val="22"/>
      </w:rPr>
      <w:tcPr>
        <w:shd w:val="clear" w:color="f79646" w:fill="f79646" w:themeFill="accent6"/>
      </w:tc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cPr>
        <w:shd w:val="clear" w:color="f79646" w:fill="f79646" w:themeFill="accent6"/>
        <w:tcBorders>
          <w:top w:val="single" w:color="FFFFFF" w:themeColor="light1" w:sz="4" w:space="0"/>
        </w:tcBorders>
      </w:tcPr>
    </w:tblStylePr>
  </w:style>
  <w:style w:type="table" w:styleId="849">
    <w:name w:val="Grid Table 6 Colorful"/>
    <w:basedOn w:val="807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cbcbcb" w:fill="cbcbcb" w:themeFill="text1" w:themeFillTint="34"/>
      </w:tcPr>
    </w:tblStylePr>
    <w:tblStylePr w:type="band1Vert"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50" w:customStyle="1">
    <w:name w:val="Grid Table 6 Colorful - Accent 1"/>
    <w:basedOn w:val="807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51" w:customStyle="1">
    <w:name w:val="Grid Table 6 Colorful - Accent 2"/>
    <w:basedOn w:val="807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52" w:customStyle="1">
    <w:name w:val="Grid Table 6 Colorful - Accent 3"/>
    <w:basedOn w:val="807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53" w:customStyle="1">
    <w:name w:val="Grid Table 6 Colorful - Accent 4"/>
    <w:basedOn w:val="807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54" w:customStyle="1">
    <w:name w:val="Grid Table 6 Colorful - Accent 5"/>
    <w:basedOn w:val="807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5" w:customStyle="1">
    <w:name w:val="Grid Table 6 Colorful - Accent 6"/>
    <w:basedOn w:val="807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6">
    <w:name w:val="Grid Table 7 Colorful"/>
    <w:basedOn w:val="807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7" w:customStyle="1">
    <w:name w:val="Grid Table 7 Colorful - Accent 1"/>
    <w:basedOn w:val="807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sz="4" w:space="0"/>
        </w:tcBorders>
      </w:tcPr>
    </w:tblStylePr>
    <w:tblStylePr w:type="fir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sz="4" w:space="0"/>
          <w:right w:val="none" w:color="000000" w:sz="0" w:space="0"/>
        </w:tcBorders>
      </w:tcPr>
    </w:tblStylePr>
    <w:tblStylePr w:type="lastCol">
      <w:rPr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A6BFD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8" w:customStyle="1">
    <w:name w:val="Grid Table 7 Colorful - Accent 2"/>
    <w:basedOn w:val="807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9" w:customStyle="1">
    <w:name w:val="Grid Table 7 Colorful - Accent 3"/>
    <w:basedOn w:val="807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sz="4" w:space="0"/>
        </w:tcBorders>
      </w:tcPr>
    </w:tblStylePr>
    <w:tblStylePr w:type="fir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sz="4" w:space="0"/>
          <w:right w:val="none" w:color="000000" w:sz="0" w:space="0"/>
        </w:tcBorders>
      </w:tcPr>
    </w:tblStylePr>
    <w:tblStylePr w:type="lastCol">
      <w:rPr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A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0" w:customStyle="1">
    <w:name w:val="Grid Table 7 Colorful - Accent 4"/>
    <w:basedOn w:val="807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1" w:customStyle="1">
    <w:name w:val="Grid Table 7 Colorful - Accent 5"/>
    <w:basedOn w:val="807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sz="4" w:space="0"/>
        </w:tcBorders>
      </w:tcPr>
    </w:tblStylePr>
    <w:tblStylePr w:type="fir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sz="4" w:space="0"/>
          <w:right w:val="none" w:color="000000" w:sz="0" w:space="0"/>
        </w:tcBorders>
      </w:tcPr>
    </w:tblStylePr>
    <w:tblStylePr w:type="lastCol">
      <w:rPr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99D0DE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2" w:customStyle="1">
    <w:name w:val="Grid Table 7 Colorful - Accent 6"/>
    <w:basedOn w:val="807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b15407" w:themeColor="accent6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  <w:tblStylePr w:type="firstCol">
      <w:rPr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sz="4" w:space="0"/>
        </w:tcBorders>
      </w:tcPr>
    </w:tblStylePr>
    <w:tblStylePr w:type="fir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sz="4" w:space="0"/>
          <w:right w:val="none" w:color="000000" w:sz="0" w:space="0"/>
        </w:tcBorders>
      </w:tcPr>
    </w:tblStylePr>
    <w:tblStylePr w:type="lastCol">
      <w:rPr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AC39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3">
    <w:name w:val="List Table 1 Light"/>
    <w:basedOn w:val="807"/>
    <w:uiPriority w:val="99"/>
    <w:tblPr>
      <w:tblStyleRowBandSize w:val="1"/>
      <w:tblStyleColBandSize w:val="1"/>
    </w:tblPr>
    <w:tblStylePr w:type="band1Horz"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 w:customStyle="1">
    <w:name w:val="List Table 1 Light - Accent 1"/>
    <w:basedOn w:val="807"/>
    <w:uiPriority w:val="99"/>
    <w:tblPr>
      <w:tblStyleRowBandSize w:val="1"/>
      <w:tblStyleColBandSize w:val="1"/>
    </w:tblPr>
    <w:tblStylePr w:type="band1Horz"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 w:customStyle="1">
    <w:name w:val="List Table 1 Light - Accent 2"/>
    <w:basedOn w:val="807"/>
    <w:uiPriority w:val="99"/>
    <w:tblPr>
      <w:tblStyleRowBandSize w:val="1"/>
      <w:tblStyleColBandSize w:val="1"/>
    </w:tblPr>
    <w:tblStylePr w:type="band1Horz"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List Table 1 Light - Accent 3"/>
    <w:basedOn w:val="807"/>
    <w:uiPriority w:val="99"/>
    <w:tblPr>
      <w:tblStyleRowBandSize w:val="1"/>
      <w:tblStyleColBandSize w:val="1"/>
    </w:tblPr>
    <w:tblStylePr w:type="band1Horz"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List Table 1 Light - Accent 4"/>
    <w:basedOn w:val="807"/>
    <w:uiPriority w:val="99"/>
    <w:tblPr>
      <w:tblStyleRowBandSize w:val="1"/>
      <w:tblStyleColBandSize w:val="1"/>
    </w:tblPr>
    <w:tblStylePr w:type="band1Horz"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List Table 1 Light - Accent 5"/>
    <w:basedOn w:val="807"/>
    <w:uiPriority w:val="99"/>
    <w:tblPr>
      <w:tblStyleRowBandSize w:val="1"/>
      <w:tblStyleColBandSize w:val="1"/>
    </w:tblPr>
    <w:tblStylePr w:type="band1Horz"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List Table 1 Light - Accent 6"/>
    <w:basedOn w:val="807"/>
    <w:uiPriority w:val="99"/>
    <w:tblPr>
      <w:tblStyleRowBandSize w:val="1"/>
      <w:tblStyleColBandSize w:val="1"/>
    </w:tblPr>
    <w:tblStylePr w:type="band1Horz"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>
    <w:name w:val="List Table 2"/>
    <w:basedOn w:val="807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</w:style>
  <w:style w:type="table" w:styleId="871" w:customStyle="1">
    <w:name w:val="List Table 2 - Accent 1"/>
    <w:basedOn w:val="807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</w:style>
  <w:style w:type="table" w:styleId="872" w:customStyle="1">
    <w:name w:val="List Table 2 - Accent 2"/>
    <w:basedOn w:val="807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</w:style>
  <w:style w:type="table" w:styleId="873" w:customStyle="1">
    <w:name w:val="List Table 2 - Accent 3"/>
    <w:basedOn w:val="807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</w:style>
  <w:style w:type="table" w:styleId="874" w:customStyle="1">
    <w:name w:val="List Table 2 - Accent 4"/>
    <w:basedOn w:val="807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</w:style>
  <w:style w:type="table" w:styleId="875" w:customStyle="1">
    <w:name w:val="List Table 2 - Accent 5"/>
    <w:basedOn w:val="807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</w:style>
  <w:style w:type="table" w:styleId="876" w:customStyle="1">
    <w:name w:val="List Table 2 - Accent 6"/>
    <w:basedOn w:val="807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</w:style>
  <w:style w:type="table" w:styleId="877">
    <w:name w:val="List Table 3"/>
    <w:basedOn w:val="807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 w:customStyle="1">
    <w:name w:val="List Table 3 - Accent 1"/>
    <w:basedOn w:val="807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9" w:customStyle="1">
    <w:name w:val="List Table 3 - Accent 2"/>
    <w:basedOn w:val="807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tcBorders>
          <w:top w:val="single" w:color="D99695" w:themeColor="accent2" w:sz="4" w:space="0"/>
          <w:bottom w:val="single" w:color="D99695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D99695" w:themeColor="accent2" w:sz="4" w:space="0"/>
          <w:right w:val="single" w:color="D99695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3 - Accent 3"/>
    <w:basedOn w:val="807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C3D69B" w:themeColor="accent3" w:sz="4" w:space="0"/>
          <w:bottom w:val="single" w:color="C3D69B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C3D69B" w:themeColor="accent3" w:sz="4" w:space="0"/>
          <w:right w:val="single" w:color="C3D69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3d69b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3 - Accent 4"/>
    <w:basedOn w:val="807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B2A1C6" w:themeColor="accent4" w:sz="4" w:space="0"/>
          <w:bottom w:val="single" w:color="B2A1C6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B2A1C6" w:themeColor="accent4" w:sz="4" w:space="0"/>
          <w:right w:val="single" w:color="B2A1C6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3 - Accent 5"/>
    <w:basedOn w:val="807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92CCDC" w:themeColor="accent5" w:sz="4" w:space="0"/>
          <w:bottom w:val="single" w:color="92CCDC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92CCDC" w:themeColor="accent5" w:sz="4" w:space="0"/>
          <w:right w:val="single" w:color="92CCDC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2ccdc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3 - Accent 6"/>
    <w:basedOn w:val="807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FAC090" w:themeColor="accent6" w:sz="4" w:space="0"/>
          <w:bottom w:val="single" w:color="FAC090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FAC090" w:themeColor="accent6" w:sz="4" w:space="0"/>
          <w:right w:val="single" w:color="FAC090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ac090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>
    <w:name w:val="List Table 4"/>
    <w:basedOn w:val="807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4 - Accent 1"/>
    <w:basedOn w:val="807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 w:customStyle="1">
    <w:name w:val="List Table 4 - Accent 2"/>
    <w:basedOn w:val="807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4 - Accent 3"/>
    <w:basedOn w:val="807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4 - Accent 4"/>
    <w:basedOn w:val="807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4 - Accent 5"/>
    <w:basedOn w:val="807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4 - Accent 6"/>
    <w:basedOn w:val="807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>
    <w:name w:val="List Table 5 Dark"/>
    <w:basedOn w:val="807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band1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7f7f7f" w:fill="7f7f7f" w:themeFill="text1" w:themeFillTint="80"/>
        <w:tcBorders>
          <w:top w:val="single" w:color="7F7F7F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2" w:customStyle="1">
    <w:name w:val="List Table 5 Dark - Accent 1"/>
    <w:basedOn w:val="807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band1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4f81bd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3" w:customStyle="1">
    <w:name w:val="List Table 5 Dark - Accent 2"/>
    <w:basedOn w:val="807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band1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D99695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d99695" w:fill="d99695" w:themeFill="accent2" w:themeFillTint="97"/>
        <w:tcBorders>
          <w:top w:val="single" w:color="D99695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4" w:customStyle="1">
    <w:name w:val="List Table 5 Dark - Accent 3"/>
    <w:basedOn w:val="807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band1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3D69B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c3d69b" w:fill="c3d69b" w:themeFill="accent3" w:themeFillTint="98"/>
        <w:tcBorders>
          <w:top w:val="single" w:color="C3D69B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5" w:customStyle="1">
    <w:name w:val="List Table 5 Dark - Accent 4"/>
    <w:basedOn w:val="807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band1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B2A1C6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b2a1c6" w:fill="b2a1c6" w:themeFill="accent4" w:themeFillTint="9A"/>
        <w:tcBorders>
          <w:top w:val="single" w:color="B2A1C6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6" w:customStyle="1">
    <w:name w:val="List Table 5 Dark - Accent 5"/>
    <w:basedOn w:val="807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band1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92CCDC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92ccdc" w:fill="92ccdc" w:themeFill="accent5" w:themeFillTint="9A"/>
        <w:tcBorders>
          <w:top w:val="single" w:color="92CCDC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7" w:customStyle="1">
    <w:name w:val="List Table 5 Dark - Accent 6"/>
    <w:basedOn w:val="807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band1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AC090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ac090" w:fill="fac090" w:themeFill="accent6" w:themeFillTint="98"/>
        <w:tcBorders>
          <w:top w:val="single" w:color="FAC090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8">
    <w:name w:val="List Table 6 Colorful"/>
    <w:basedOn w:val="807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color w:val="000000" w:themeColor="text1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sz="4" w:space="0"/>
        </w:tcBorders>
      </w:tcPr>
    </w:tblStylePr>
  </w:style>
  <w:style w:type="table" w:styleId="899" w:customStyle="1">
    <w:name w:val="List Table 6 Colorful - Accent 1"/>
    <w:basedOn w:val="807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00" w:customStyle="1">
    <w:name w:val="List Table 6 Colorful - Accent 2"/>
    <w:basedOn w:val="807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sz="4" w:space="0"/>
        </w:tcBorders>
      </w:tcPr>
    </w:tblStylePr>
  </w:style>
  <w:style w:type="table" w:styleId="901" w:customStyle="1">
    <w:name w:val="List Table 6 Colorful - Accent 3"/>
    <w:basedOn w:val="807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sz="4" w:space="0"/>
        </w:tcBorders>
      </w:tcPr>
    </w:tblStylePr>
  </w:style>
  <w:style w:type="table" w:styleId="902" w:customStyle="1">
    <w:name w:val="List Table 6 Colorful - Accent 4"/>
    <w:basedOn w:val="807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sz="4" w:space="0"/>
        </w:tcBorders>
      </w:tcPr>
    </w:tblStylePr>
  </w:style>
  <w:style w:type="table" w:styleId="903" w:customStyle="1">
    <w:name w:val="List Table 6 Colorful - Accent 5"/>
    <w:basedOn w:val="807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sz="4" w:space="0"/>
        </w:tcBorders>
      </w:tcPr>
    </w:tblStylePr>
  </w:style>
  <w:style w:type="table" w:styleId="904" w:customStyle="1">
    <w:name w:val="List Table 6 Colorful - Accent 6"/>
    <w:basedOn w:val="807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sz="4" w:space="0"/>
        </w:tcBorders>
      </w:tcPr>
    </w:tblStylePr>
  </w:style>
  <w:style w:type="table" w:styleId="905">
    <w:name w:val="List Table 7 Colorful"/>
    <w:basedOn w:val="807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6" w:customStyle="1">
    <w:name w:val="List Table 7 Colorful - Accent 1"/>
    <w:basedOn w:val="807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7" w:customStyle="1">
    <w:name w:val="List Table 7 Colorful - Accent 2"/>
    <w:basedOn w:val="807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8" w:customStyle="1">
    <w:name w:val="List Table 7 Colorful - Accent 3"/>
    <w:basedOn w:val="807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sz="4" w:space="0"/>
        </w:tcBorders>
      </w:tcPr>
    </w:tblStylePr>
    <w:tblStylePr w:type="fir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sz="4" w:space="0"/>
          <w:right w:val="none" w:color="000000" w:sz="0" w:space="0"/>
        </w:tcBorders>
      </w:tcPr>
    </w:tblStylePr>
    <w:tblStylePr w:type="lastCol">
      <w:rPr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C3D69B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9" w:customStyle="1">
    <w:name w:val="List Table 7 Colorful - Accent 4"/>
    <w:basedOn w:val="807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0" w:customStyle="1">
    <w:name w:val="List Table 7 Colorful - Accent 5"/>
    <w:basedOn w:val="807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sz="4" w:space="0"/>
        </w:tcBorders>
      </w:tcPr>
    </w:tblStylePr>
    <w:tblStylePr w:type="fir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sz="4" w:space="0"/>
          <w:right w:val="none" w:color="000000" w:sz="0" w:space="0"/>
        </w:tcBorders>
      </w:tcPr>
    </w:tblStylePr>
    <w:tblStylePr w:type="lastCol">
      <w:rPr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92CCDC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1" w:customStyle="1">
    <w:name w:val="List Table 7 Colorful - Accent 6"/>
    <w:basedOn w:val="807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sz="4" w:space="0"/>
        </w:tcBorders>
      </w:tcPr>
    </w:tblStylePr>
    <w:tblStylePr w:type="fir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sz="4" w:space="0"/>
          <w:right w:val="none" w:color="000000" w:sz="0" w:space="0"/>
        </w:tcBorders>
      </w:tcPr>
    </w:tblStylePr>
    <w:tblStylePr w:type="lastCol">
      <w:rPr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AC090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2" w:customStyle="1">
    <w:name w:val="Lined - Accent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13" w:customStyle="1">
    <w:name w:val="Lined - Accent 1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14" w:customStyle="1">
    <w:name w:val="Lined - Accent 2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15" w:customStyle="1">
    <w:name w:val="Lined - Accent 3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16" w:customStyle="1">
    <w:name w:val="Lined - Accent 4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17" w:customStyle="1">
    <w:name w:val="Lined - Accent 5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18" w:customStyle="1">
    <w:name w:val="Lined - Accent 6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19" w:customStyle="1">
    <w:name w:val="Bordered &amp; Lined - Accent"/>
    <w:basedOn w:val="807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20" w:customStyle="1">
    <w:name w:val="Bordered &amp; Lined - Accent 1"/>
    <w:basedOn w:val="807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sz="4" w:space="0"/>
        <w:left w:val="single" w:color="2A4A71" w:themeColor="accent1" w:sz="4" w:space="0"/>
        <w:bottom w:val="single" w:color="2A4A71" w:themeColor="accent1" w:sz="4" w:space="0"/>
        <w:right w:val="single" w:color="2A4A71" w:themeColor="accent1" w:sz="4" w:space="0"/>
        <w:insideH w:val="single" w:color="2A4A71" w:themeColor="accent1" w:sz="4" w:space="0"/>
        <w:insideV w:val="single" w:color="2A4A71" w:themeColor="accent1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21" w:customStyle="1">
    <w:name w:val="Bordered &amp; Lined - Accent 2"/>
    <w:basedOn w:val="807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sz="4" w:space="0"/>
        <w:left w:val="single" w:color="732A29" w:themeColor="accent2" w:sz="4" w:space="0"/>
        <w:bottom w:val="single" w:color="732A29" w:themeColor="accent2" w:sz="4" w:space="0"/>
        <w:right w:val="single" w:color="732A29" w:themeColor="accent2" w:sz="4" w:space="0"/>
        <w:insideH w:val="single" w:color="732A29" w:themeColor="accent2" w:sz="4" w:space="0"/>
        <w:insideV w:val="single" w:color="732A29" w:themeColor="accent2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22" w:customStyle="1">
    <w:name w:val="Bordered &amp; Lined - Accent 3"/>
    <w:basedOn w:val="807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sz="4" w:space="0"/>
        <w:left w:val="single" w:color="5B722E" w:themeColor="accent3" w:sz="4" w:space="0"/>
        <w:bottom w:val="single" w:color="5B722E" w:themeColor="accent3" w:sz="4" w:space="0"/>
        <w:right w:val="single" w:color="5B722E" w:themeColor="accent3" w:sz="4" w:space="0"/>
        <w:insideH w:val="single" w:color="5B722E" w:themeColor="accent3" w:sz="4" w:space="0"/>
        <w:insideV w:val="single" w:color="5B722E" w:themeColor="accent3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23" w:customStyle="1">
    <w:name w:val="Bordered &amp; Lined - Accent 4"/>
    <w:basedOn w:val="807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sz="4" w:space="0"/>
        <w:left w:val="single" w:color="4A395F" w:themeColor="accent4" w:sz="4" w:space="0"/>
        <w:bottom w:val="single" w:color="4A395F" w:themeColor="accent4" w:sz="4" w:space="0"/>
        <w:right w:val="single" w:color="4A395F" w:themeColor="accent4" w:sz="4" w:space="0"/>
        <w:insideH w:val="single" w:color="4A395F" w:themeColor="accent4" w:sz="4" w:space="0"/>
        <w:insideV w:val="single" w:color="4A395F" w:themeColor="accent4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24" w:customStyle="1">
    <w:name w:val="Bordered &amp; Lined - Accent 5"/>
    <w:basedOn w:val="807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sz="4" w:space="0"/>
        <w:left w:val="single" w:color="266779" w:themeColor="accent5" w:sz="4" w:space="0"/>
        <w:bottom w:val="single" w:color="266779" w:themeColor="accent5" w:sz="4" w:space="0"/>
        <w:right w:val="single" w:color="266779" w:themeColor="accent5" w:sz="4" w:space="0"/>
        <w:insideH w:val="single" w:color="266779" w:themeColor="accent5" w:sz="4" w:space="0"/>
        <w:insideV w:val="single" w:color="266779" w:themeColor="accent5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5" w:customStyle="1">
    <w:name w:val="Bordered &amp; Lined - Accent 6"/>
    <w:basedOn w:val="807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sz="4" w:space="0"/>
        <w:left w:val="single" w:color="B15407" w:themeColor="accent6" w:sz="4" w:space="0"/>
        <w:bottom w:val="single" w:color="B15407" w:themeColor="accent6" w:sz="4" w:space="0"/>
        <w:right w:val="single" w:color="B15407" w:themeColor="accent6" w:sz="4" w:space="0"/>
        <w:insideH w:val="single" w:color="B15407" w:themeColor="accent6" w:sz="4" w:space="0"/>
        <w:insideV w:val="single" w:color="B15407" w:themeColor="accent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6" w:customStyle="1">
    <w:name w:val="Bordered"/>
    <w:basedOn w:val="807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color w:val="404040"/>
        <w:sz w:val="22"/>
      </w:rPr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7F7F7F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7F7F7F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7F7F7F" w:themeColor="text1" w:sz="12" w:space="0"/>
        </w:tcBorders>
      </w:tcPr>
    </w:tblStylePr>
  </w:style>
  <w:style w:type="table" w:styleId="927" w:customStyle="1">
    <w:name w:val="Bordered - Accent 1"/>
    <w:basedOn w:val="807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28" w:customStyle="1">
    <w:name w:val="Bordered - Accent 2"/>
    <w:basedOn w:val="807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D99695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D99695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D99695" w:themeColor="accent2" w:sz="12" w:space="0"/>
        </w:tcBorders>
      </w:tcPr>
    </w:tblStylePr>
  </w:style>
  <w:style w:type="table" w:styleId="929" w:customStyle="1">
    <w:name w:val="Bordered - Accent 3"/>
    <w:basedOn w:val="807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C3D69B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3D69B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3D69B" w:themeColor="accent3" w:sz="12" w:space="0"/>
        </w:tcBorders>
      </w:tcPr>
    </w:tblStylePr>
  </w:style>
  <w:style w:type="table" w:styleId="930" w:customStyle="1">
    <w:name w:val="Bordered - Accent 4"/>
    <w:basedOn w:val="807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B2A1C6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B2A1C6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B2A1C6" w:themeColor="accent4" w:sz="12" w:space="0"/>
        </w:tcBorders>
      </w:tcPr>
    </w:tblStylePr>
  </w:style>
  <w:style w:type="table" w:styleId="931" w:customStyle="1">
    <w:name w:val="Bordered - Accent 5"/>
    <w:basedOn w:val="807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92CCDC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2CCDC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2CCDC" w:themeColor="accent5" w:sz="12" w:space="0"/>
        </w:tcBorders>
      </w:tcPr>
    </w:tblStylePr>
  </w:style>
  <w:style w:type="table" w:styleId="932" w:customStyle="1">
    <w:name w:val="Bordered - Accent 6"/>
    <w:basedOn w:val="807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FAC090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AC090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AC090" w:themeColor="accent6" w:sz="12" w:space="0"/>
        </w:tcBorders>
      </w:tcPr>
    </w:tblStylePr>
  </w:style>
  <w:style w:type="table" w:styleId="933">
    <w:name w:val="Table Grid"/>
    <w:basedOn w:val="807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rts-tender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s://www.rts-tender.ru/" TargetMode="External"/><Relationship Id="rId12" Type="http://schemas.openxmlformats.org/officeDocument/2006/relationships/hyperlink" Target="http://www.rts-tender.ru/" TargetMode="External"/><Relationship Id="rId13" Type="http://schemas.openxmlformats.org/officeDocument/2006/relationships/hyperlink" Target="https://www.rts-tender.ru/" TargetMode="External"/><Relationship Id="rId14" Type="http://schemas.openxmlformats.org/officeDocument/2006/relationships/hyperlink" Target="http://www.rts-tender.ru/" TargetMode="Externa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>Grizli777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dc:description/>
  <dc:language>ru-RU</dc:language>
  <cp:lastModifiedBy>SokolovaMY</cp:lastModifiedBy>
  <cp:revision>58</cp:revision>
  <dcterms:created xsi:type="dcterms:W3CDTF">2023-10-31T06:24:00Z</dcterms:created>
  <dcterms:modified xsi:type="dcterms:W3CDTF">2025-09-29T09:10:04Z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A6359D14764B43E9BA567EF3ABEF27A6</vt:lpwstr>
  </property>
  <property fmtid="{D5CDD505-2E9C-101B-9397-08002B2CF9AE}" pid="3" name="KSOProductBuildVer">
    <vt:lpwstr>1049-11.2.0.11516</vt:lpwstr>
  </property>
</Properties>
</file>