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3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0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00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</w:rPr>
        <w:t xml:space="preserve">18 февраля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по продаже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Участниками аукциона являются граждане.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Костромы от </w:t>
      </w:r>
      <w:r>
        <w:rPr>
          <w:rFonts w:ascii="Times New Roman" w:hAnsi="Times New Roman"/>
          <w:sz w:val="22"/>
          <w:szCs w:val="22"/>
        </w:rPr>
        <w:t xml:space="preserve">1 декабря 2023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2439 «</w:t>
      </w:r>
      <w:r>
        <w:rPr>
          <w:rFonts w:ascii="Times New Roman" w:hAnsi="Times New Roman"/>
          <w:color w:val="000000"/>
          <w:sz w:val="22"/>
          <w:szCs w:val="22"/>
        </w:rPr>
        <w:t xml:space="preserve">Об отказе в предоставлении в собственность и о проведении аукциона по продаже земельного участка, имеющего местоположение: Костромская область, город Кострома, деревня Скорбежки, восточнее домовладения 7а»</w:t>
      </w:r>
      <w:r>
        <w:rPr>
          <w:rFonts w:ascii="Times New Roman" w:hAnsi="Times New Roman"/>
          <w:color w:val="000000"/>
          <w:sz w:val="22"/>
          <w:szCs w:val="22"/>
        </w:rPr>
        <w:t xml:space="preserve"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адрес</w:t>
      </w:r>
      <w:r>
        <w:rPr>
          <w:rFonts w:ascii="Times New Roman" w:hAnsi="Times New Roman"/>
          <w:color w:val="000000"/>
          <w:sz w:val="22"/>
          <w:szCs w:val="22"/>
        </w:rPr>
        <w:t xml:space="preserve">: Российская Федерация, Костромская область, городской округ город Кострома, город Кострома, деревня Скорбежки, земельный участок 7в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площадь: 1373</w:t>
      </w:r>
      <w:r>
        <w:rPr>
          <w:rFonts w:ascii="Times New Roman" w:hAnsi="Times New Roman"/>
          <w:sz w:val="22"/>
          <w:szCs w:val="22"/>
        </w:rPr>
        <w:t xml:space="preserve"> кв.м;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кадастровый номер: 44:27:050401</w:t>
      </w:r>
      <w:r>
        <w:rPr>
          <w:rFonts w:ascii="Times New Roman" w:hAnsi="Times New Roman"/>
          <w:sz w:val="22"/>
          <w:szCs w:val="22"/>
        </w:rPr>
        <w:t xml:space="preserve">:</w:t>
      </w:r>
      <w:r>
        <w:rPr>
          <w:rFonts w:ascii="Times New Roman" w:hAnsi="Times New Roman"/>
          <w:sz w:val="22"/>
          <w:szCs w:val="22"/>
        </w:rPr>
        <w:t xml:space="preserve">49;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е: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2"/>
          <w:szCs w:val="22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2"/>
          <w:szCs w:val="22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  <w:t xml:space="preserve">соблюдать особые условия использования и режим хозяйственной деятельности в охранных зонах инженерных коммуни</w:t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  <w:t xml:space="preserve">каций4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ства: </w:t>
      </w:r>
      <w:r>
        <w:rPr>
          <w:rFonts w:ascii="Times New Roman" w:hAnsi="Times New Roman"/>
          <w:sz w:val="22"/>
          <w:szCs w:val="22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2"/>
          <w:szCs w:val="22"/>
          <w:highlight w:val="white"/>
        </w:rPr>
        <w:t xml:space="preserve">18.</w:t>
      </w:r>
      <w:r>
        <w:rPr>
          <w:rFonts w:ascii="Times New Roman" w:hAnsi="Times New Roman"/>
          <w:sz w:val="22"/>
          <w:szCs w:val="22"/>
          <w:highlight w:val="white"/>
        </w:rPr>
        <w:t xml:space="preserve">01.2024 № исх.02.11/</w:t>
      </w:r>
      <w:r>
        <w:rPr>
          <w:rFonts w:ascii="Times New Roman" w:hAnsi="Times New Roman"/>
          <w:sz w:val="22"/>
          <w:szCs w:val="22"/>
          <w:highlight w:val="white"/>
        </w:rPr>
        <w:t xml:space="preserve">196д, от 22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  <w:t xml:space="preserve">01.2024 № исх.02.11/273д</w:t>
      </w:r>
      <w:r>
        <w:rPr>
          <w:rFonts w:ascii="Times New Roman" w:hAnsi="Times New Roman"/>
          <w:sz w:val="22"/>
          <w:szCs w:val="22"/>
          <w:highlight w:val="white"/>
        </w:rPr>
        <w:t xml:space="preserve">; газоснабжение от ООО «Газпром газораспределение Кострома» от </w:t>
      </w:r>
      <w:r>
        <w:rPr>
          <w:rFonts w:ascii="Times New Roman" w:hAnsi="Times New Roman"/>
          <w:sz w:val="22"/>
          <w:szCs w:val="22"/>
          <w:highlight w:val="white"/>
        </w:rPr>
        <w:t xml:space="preserve">24.</w:t>
      </w:r>
      <w:r>
        <w:rPr>
          <w:rFonts w:ascii="Times New Roman" w:hAnsi="Times New Roman"/>
          <w:sz w:val="22"/>
          <w:szCs w:val="22"/>
          <w:highlight w:val="white"/>
        </w:rPr>
        <w:t xml:space="preserve">01.2024 № ИС-15/</w:t>
      </w:r>
      <w:r>
        <w:rPr>
          <w:rFonts w:ascii="Times New Roman" w:hAnsi="Times New Roman"/>
          <w:sz w:val="22"/>
          <w:szCs w:val="22"/>
          <w:highlight w:val="white"/>
        </w:rPr>
        <w:t xml:space="preserve">319, </w:t>
      </w:r>
      <w:r>
        <w:rPr>
          <w:rFonts w:ascii="Times New Roman" w:hAnsi="Times New Roman"/>
          <w:sz w:val="22"/>
          <w:szCs w:val="22"/>
          <w:highlight w:val="white"/>
        </w:rPr>
        <w:t xml:space="preserve">теплоснабжение от </w:t>
      </w:r>
      <w:r>
        <w:rPr>
          <w:rFonts w:ascii="Times New Roman" w:hAnsi="Times New Roman"/>
          <w:sz w:val="22"/>
          <w:szCs w:val="22"/>
          <w:highlight w:val="white"/>
        </w:rPr>
        <w:t xml:space="preserve">ПАО «ТГК-2»</w:t>
      </w:r>
      <w:r>
        <w:rPr>
          <w:rFonts w:ascii="Times New Roman" w:hAnsi="Times New Roman"/>
          <w:sz w:val="22"/>
          <w:szCs w:val="22"/>
          <w:highlight w:val="white"/>
        </w:rPr>
        <w:t xml:space="preserve"> от </w:t>
      </w:r>
      <w:r>
        <w:rPr>
          <w:rFonts w:ascii="Times New Roman" w:hAnsi="Times New Roman"/>
          <w:sz w:val="22"/>
          <w:szCs w:val="22"/>
          <w:highlight w:val="white"/>
        </w:rPr>
        <w:t xml:space="preserve">02.</w:t>
      </w:r>
      <w:r>
        <w:rPr>
          <w:rFonts w:ascii="Times New Roman" w:hAnsi="Times New Roman"/>
          <w:sz w:val="22"/>
          <w:szCs w:val="22"/>
          <w:highlight w:val="white"/>
        </w:rPr>
        <w:t xml:space="preserve">05.2024 № </w:t>
      </w:r>
      <w:r>
        <w:rPr>
          <w:rFonts w:ascii="Times New Roman" w:hAnsi="Times New Roman"/>
          <w:sz w:val="22"/>
          <w:szCs w:val="22"/>
          <w:highlight w:val="white"/>
        </w:rPr>
        <w:t xml:space="preserve">4201/639-2024</w:t>
      </w:r>
      <w:r>
        <w:rPr>
          <w:rFonts w:ascii="Times New Roman" w:hAnsi="Times New Roman"/>
          <w:sz w:val="22"/>
          <w:szCs w:val="22"/>
          <w:highlight w:val="white"/>
        </w:rPr>
        <w:t xml:space="preserve">, </w:t>
      </w:r>
      <w:r>
        <w:rPr>
          <w:rFonts w:ascii="Times New Roman" w:hAnsi="Times New Roman"/>
          <w:sz w:val="22"/>
          <w:szCs w:val="22"/>
          <w:highlight w:val="white"/>
        </w:rPr>
        <w:t xml:space="preserve">от МУП г.Костромы «Городские сети» от 24.01.2024 №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13-0</w:t>
      </w:r>
      <w:r>
        <w:rPr>
          <w:rFonts w:ascii="Times New Roman" w:hAnsi="Times New Roman"/>
          <w:sz w:val="22"/>
          <w:szCs w:val="22"/>
          <w:highlight w:val="white"/>
        </w:rPr>
        <w:t xml:space="preserve">1/00192;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</w:t>
      </w:r>
      <w:r>
        <w:rPr>
          <w:rFonts w:ascii="Times New Roman" w:hAnsi="Times New Roman"/>
          <w:sz w:val="22"/>
          <w:szCs w:val="22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2"/>
          <w:szCs w:val="22"/>
          <w:highlight w:val="white"/>
        </w:rPr>
        <w:t xml:space="preserve">: 1 </w:t>
      </w:r>
      <w:r>
        <w:rPr>
          <w:rFonts w:ascii="Times New Roman" w:hAnsi="Times New Roman"/>
          <w:sz w:val="22"/>
          <w:szCs w:val="22"/>
          <w:highlight w:val="white"/>
        </w:rPr>
        <w:t xml:space="preserve">740 000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семьсот сорок </w:t>
      </w:r>
      <w:r>
        <w:rPr>
          <w:rFonts w:ascii="Times New Roman" w:hAnsi="Times New Roman"/>
          <w:sz w:val="22"/>
          <w:szCs w:val="22"/>
          <w:highlight w:val="white"/>
        </w:rPr>
        <w:t xml:space="preserve">тысяч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шаг аукциона: 52 200</w:t>
      </w:r>
      <w:r>
        <w:rPr>
          <w:rFonts w:ascii="Times New Roman" w:hAnsi="Times New Roman"/>
          <w:sz w:val="22"/>
          <w:szCs w:val="22"/>
          <w:highlight w:val="white"/>
        </w:rPr>
        <w:t xml:space="preserve"> (Пятьдесят две </w:t>
      </w:r>
      <w:r>
        <w:rPr>
          <w:rFonts w:ascii="Times New Roman" w:hAnsi="Times New Roman"/>
          <w:sz w:val="22"/>
          <w:szCs w:val="22"/>
          <w:highlight w:val="white"/>
        </w:rPr>
        <w:t xml:space="preserve">тысячи двести)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размер задатка: 435 000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(Четыреста тридцать пять тысяч</w:t>
      </w:r>
      <w:r>
        <w:rPr>
          <w:rFonts w:ascii="Times New Roman" w:hAnsi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/>
          <w:sz w:val="22"/>
          <w:szCs w:val="22"/>
          <w:highlight w:val="white"/>
        </w:rPr>
        <w:t xml:space="preserve"> рубл</w:t>
      </w:r>
      <w:r>
        <w:rPr>
          <w:rFonts w:ascii="Times New Roman" w:hAnsi="Times New Roman"/>
          <w:sz w:val="22"/>
          <w:szCs w:val="22"/>
          <w:highlight w:val="white"/>
        </w:rPr>
        <w:t xml:space="preserve">ей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59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17 января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15 февраля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59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59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highlight w:val="none"/>
          <w:shd w:val="clear" w:color="auto" w:fill="ffffff"/>
        </w:rPr>
        <w:t xml:space="preserve">17 февраля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59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17 февраля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59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59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18 февраля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купли - продажи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купли - продажи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3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купли - продажи земельного участка, подписанный проект договора купли – продажи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купли - продажи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,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18.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Земельный участок в со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застройки города Костромы, утвержденными постановлением Администрации города Костромы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 28 июня 2021 года № 1130 (с изм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зоне застройки индивидуальными жилыми домами Ж-1: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«1.1. Градостроительный регламент зоны застройки</w:t>
        <w:br/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индивидуальными жилыми домами Ж-1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Классификатору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года N П/0412 (далее - Классификатор), и соответствующие каждому виду предельные (минималь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798"/>
        <w:gridCol w:w="2951"/>
        <w:gridCol w:w="3651"/>
        <w:gridCol w:w="56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максимальное количество совмещенных домов - 4 дома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Ж-1.3 - 30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Ж-1.3 - 30 процентов: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Ж-1.3 - 30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-Ж-1, Ж-1.3 - 40 процентов: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Ж-1.3 - 10,5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1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98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1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835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Ж-1.3 - 40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Ж-1 - 3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Ж-1.3 - 50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Ж-1.1 - 25 процентов;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Ж-1 - 4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Ж-1.2, Ж-1.3 - 3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Ж-1.3 - 2 этажа;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Ж-1.1 - 2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предельная высота зданий: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Ж-1, Ж-1.2, Ж-1.3 - 11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- Ж-1.1 - 8 м до конька кровли;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1.1.6. Иные параметры, применяемые к объектам и территориям, расположенным в подзонах зоны Ж-1: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, при максимальных параметрах объекта (длина/ ширина) 15,0 м x 20,0 м.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1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1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</w:rPr>
        <w:t xml:space="preserve">_________</w:t>
      </w:r>
      <w:r>
        <w:rPr>
          <w:rFonts w:ascii="Times New Roman" w:hAnsi="Times New Roman" w:cs="Times New Roman"/>
          <w:color w:val="000000"/>
        </w:rPr>
        <w:t xml:space="preserve">рублей зачисляется в счет платежа по настоящему договору за земельный участок.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За нарушение срока перечисления денежных средств, указанных в пункте 2.2 настоящего договора,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и/или неполное их перечисление, Покупатель уплачивает Продавцу неустойку в виде пени за каждый день просрочки в размере 1/150 ставки рефинансирования Центрального Банка Российской Федерации, действующей на дату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денежного обязательства.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Пени начи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сляются со дня образования задолженности и перечисляются на следующие реквизиты: </w:t>
      </w:r>
      <w:r>
        <w:rPr>
          <w:rFonts w:ascii="Times New Roman" w:hAnsi="Times New Roman" w:cs="Times New Roman"/>
          <w:sz w:val="24"/>
          <w:szCs w:val="24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4401006568, КПП 440101001, единый казначейский счет 4</w:t>
      </w:r>
      <w:r>
        <w:rPr>
          <w:rFonts w:ascii="Times New Roman" w:hAnsi="Times New Roman" w:cs="Times New Roman"/>
          <w:sz w:val="24"/>
          <w:szCs w:val="24"/>
        </w:rPr>
        <w:t xml:space="preserve">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Уплата неустойки не освобождает Покупателя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</w:t>
      </w:r>
      <w:r>
        <w:rPr>
          <w:rFonts w:ascii="Times New Roman" w:hAnsi="Times New Roman" w:cs="Times New Roman"/>
          <w:sz w:val="24"/>
          <w:szCs w:val="24"/>
        </w:rPr>
        <w:t xml:space="preserve">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spacing w:line="276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765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731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567" w:right="70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76"/>
    <w:uiPriority w:val="10"/>
    <w:rPr>
      <w:sz w:val="48"/>
      <w:szCs w:val="48"/>
    </w:rPr>
  </w:style>
  <w:style w:type="character" w:styleId="726">
    <w:name w:val="Subtitle Char"/>
    <w:basedOn w:val="741"/>
    <w:link w:val="777"/>
    <w:uiPriority w:val="11"/>
    <w:rPr>
      <w:sz w:val="24"/>
      <w:szCs w:val="24"/>
    </w:rPr>
  </w:style>
  <w:style w:type="character" w:styleId="727">
    <w:name w:val="Quote Char"/>
    <w:link w:val="778"/>
    <w:uiPriority w:val="29"/>
    <w:rPr>
      <w:i/>
    </w:rPr>
  </w:style>
  <w:style w:type="character" w:styleId="728">
    <w:name w:val="Intense Quote Char"/>
    <w:link w:val="779"/>
    <w:uiPriority w:val="30"/>
    <w:rPr>
      <w:i/>
    </w:rPr>
  </w:style>
  <w:style w:type="character" w:styleId="729">
    <w:name w:val="Endnote Text Char"/>
    <w:link w:val="781"/>
    <w:uiPriority w:val="99"/>
    <w:rPr>
      <w:sz w:val="20"/>
    </w:rPr>
  </w:style>
  <w:style w:type="paragraph" w:styleId="730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3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2">
    <w:name w:val="Heading 1"/>
    <w:basedOn w:val="731"/>
    <w:next w:val="731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  <w:qFormat/>
  </w:style>
  <w:style w:type="character" w:styleId="742" w:customStyle="1">
    <w:name w:val="Заголовок 2 Знак"/>
    <w:basedOn w:val="741"/>
    <w:uiPriority w:val="9"/>
    <w:qFormat/>
    <w:rPr>
      <w:rFonts w:ascii="Arial" w:hAnsi="Arial" w:eastAsia="Arial" w:cs="Arial"/>
      <w:sz w:val="34"/>
    </w:rPr>
  </w:style>
  <w:style w:type="character" w:styleId="743" w:customStyle="1">
    <w:name w:val="Заголовок 6 Знак"/>
    <w:basedOn w:val="7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Заголовок Знак"/>
    <w:basedOn w:val="741"/>
    <w:uiPriority w:val="10"/>
    <w:qFormat/>
    <w:rPr>
      <w:sz w:val="48"/>
      <w:szCs w:val="48"/>
    </w:rPr>
  </w:style>
  <w:style w:type="character" w:styleId="748" w:customStyle="1">
    <w:name w:val="Подзаголовок Знак"/>
    <w:basedOn w:val="741"/>
    <w:uiPriority w:val="11"/>
    <w:qFormat/>
    <w:rPr>
      <w:sz w:val="24"/>
      <w:szCs w:val="24"/>
    </w:rPr>
  </w:style>
  <w:style w:type="character" w:styleId="749" w:customStyle="1">
    <w:name w:val="Цитата 2 Знак"/>
    <w:link w:val="778"/>
    <w:uiPriority w:val="29"/>
    <w:qFormat/>
    <w:rPr>
      <w:i/>
    </w:rPr>
  </w:style>
  <w:style w:type="character" w:styleId="750" w:customStyle="1">
    <w:name w:val="Выделенная цитата Знак"/>
    <w:link w:val="779"/>
    <w:uiPriority w:val="30"/>
    <w:qFormat/>
    <w:rPr>
      <w:i/>
    </w:rPr>
  </w:style>
  <w:style w:type="character" w:styleId="751" w:customStyle="1">
    <w:name w:val="Header Char"/>
    <w:basedOn w:val="741"/>
    <w:uiPriority w:val="99"/>
    <w:qFormat/>
  </w:style>
  <w:style w:type="character" w:styleId="752" w:customStyle="1">
    <w:name w:val="Footer Char"/>
    <w:basedOn w:val="741"/>
    <w:uiPriority w:val="99"/>
    <w:qFormat/>
  </w:style>
  <w:style w:type="character" w:styleId="753" w:customStyle="1">
    <w:name w:val="Caption Char"/>
    <w:uiPriority w:val="99"/>
    <w:qFormat/>
  </w:style>
  <w:style w:type="character" w:styleId="754" w:customStyle="1">
    <w:name w:val="Footnote Text Char"/>
    <w:uiPriority w:val="99"/>
    <w:qFormat/>
    <w:rPr>
      <w:sz w:val="18"/>
    </w:rPr>
  </w:style>
  <w:style w:type="character" w:styleId="755" w:customStyle="1">
    <w:name w:val="Текст концевой сноски Знак"/>
    <w:uiPriority w:val="99"/>
    <w:qFormat/>
    <w:rPr>
      <w:sz w:val="20"/>
    </w:rPr>
  </w:style>
  <w:style w:type="character" w:styleId="756">
    <w:name w:val="Символ концевой сноски"/>
    <w:basedOn w:val="741"/>
    <w:uiPriority w:val="99"/>
    <w:semiHidden/>
    <w:unhideWhenUsed/>
    <w:qFormat/>
    <w:rPr>
      <w:vertAlign w:val="superscript"/>
    </w:rPr>
  </w:style>
  <w:style w:type="character" w:styleId="757">
    <w:name w:val="endnote reference"/>
    <w:rPr>
      <w:vertAlign w:val="superscript"/>
    </w:rPr>
  </w:style>
  <w:style w:type="character" w:styleId="758">
    <w:name w:val="FollowedHyperlink"/>
    <w:basedOn w:val="741"/>
    <w:uiPriority w:val="99"/>
    <w:unhideWhenUsed/>
    <w:qFormat/>
    <w:rPr>
      <w:color w:val="800080"/>
      <w:u w:val="single"/>
    </w:rPr>
  </w:style>
  <w:style w:type="character" w:styleId="759">
    <w:name w:val="Hyperlink"/>
    <w:basedOn w:val="741"/>
    <w:uiPriority w:val="99"/>
    <w:unhideWhenUsed/>
    <w:qFormat/>
    <w:rPr>
      <w:color w:val="0000ff"/>
      <w:u w:val="single"/>
    </w:rPr>
  </w:style>
  <w:style w:type="character" w:styleId="760">
    <w:name w:val="Strong"/>
    <w:basedOn w:val="741"/>
    <w:qFormat/>
    <w:rPr>
      <w:rFonts w:cs="Times New Roman"/>
      <w:b/>
      <w:bCs/>
    </w:rPr>
  </w:style>
  <w:style w:type="character" w:styleId="761" w:customStyle="1">
    <w:name w:val="Верх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2" w:customStyle="1">
    <w:name w:val="Ниж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3" w:customStyle="1">
    <w:name w:val="10"/>
    <w:basedOn w:val="741"/>
    <w:qFormat/>
    <w:rPr>
      <w:rFonts w:ascii="Times New Roman" w:hAnsi="Times New Roman" w:cs="Times New Roman"/>
    </w:rPr>
  </w:style>
  <w:style w:type="character" w:styleId="764" w:customStyle="1">
    <w:name w:val="15"/>
    <w:basedOn w:val="741"/>
    <w:qFormat/>
    <w:rPr>
      <w:rFonts w:ascii="Times New Roman" w:hAnsi="Times New Roman" w:cs="Times New Roman"/>
      <w:color w:val="0000ff"/>
      <w:u w:val="single"/>
    </w:rPr>
  </w:style>
  <w:style w:type="character" w:styleId="765" w:customStyle="1">
    <w:name w:val="16"/>
    <w:basedOn w:val="741"/>
    <w:qFormat/>
    <w:rPr>
      <w:rFonts w:ascii="Times New Roman" w:hAnsi="Times New Roman" w:cs="Times New Roman"/>
    </w:rPr>
  </w:style>
  <w:style w:type="character" w:styleId="766" w:customStyle="1">
    <w:name w:val="rts-text"/>
    <w:basedOn w:val="741"/>
    <w:qFormat/>
  </w:style>
  <w:style w:type="character" w:styleId="767">
    <w:name w:val="Символ сноски"/>
    <w:qFormat/>
    <w:rPr>
      <w:vertAlign w:val="superscript"/>
    </w:rPr>
  </w:style>
  <w:style w:type="character" w:styleId="768">
    <w:name w:val="footnote reference"/>
    <w:rPr>
      <w:vertAlign w:val="superscript"/>
    </w:rPr>
  </w:style>
  <w:style w:type="character" w:styleId="769" w:customStyle="1">
    <w:name w:val="Текст сноски Знак"/>
    <w:basedOn w:val="741"/>
    <w:qFormat/>
    <w:rPr>
      <w:rFonts w:ascii="Times New Roman" w:hAnsi="Times New Roman" w:eastAsia="Times New Roman" w:cs="Times New Roman"/>
      <w:lang w:eastAsia="zh-CN"/>
    </w:rPr>
  </w:style>
  <w:style w:type="character" w:styleId="770" w:customStyle="1">
    <w:name w:val="Текст выноски Знак"/>
    <w:basedOn w:val="741"/>
    <w:link w:val="80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1">
    <w:name w:val="Заголовок"/>
    <w:basedOn w:val="731"/>
    <w:next w:val="77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2">
    <w:name w:val="Body Text"/>
    <w:basedOn w:val="731"/>
    <w:pPr>
      <w:spacing w:before="0" w:after="140" w:line="276" w:lineRule="auto"/>
    </w:pPr>
  </w:style>
  <w:style w:type="paragraph" w:styleId="773">
    <w:name w:val="List"/>
    <w:basedOn w:val="772"/>
    <w:rPr>
      <w:rFonts w:cs="Mangal"/>
    </w:rPr>
  </w:style>
  <w:style w:type="paragraph" w:styleId="774">
    <w:name w:val="Caption"/>
    <w:basedOn w:val="7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5">
    <w:name w:val="Указатель"/>
    <w:basedOn w:val="731"/>
    <w:qFormat/>
    <w:pPr>
      <w:suppressLineNumbers/>
    </w:pPr>
    <w:rPr>
      <w:rFonts w:cs="Mangal"/>
    </w:rPr>
  </w:style>
  <w:style w:type="paragraph" w:styleId="776">
    <w:name w:val="Title"/>
    <w:basedOn w:val="731"/>
    <w:next w:val="731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7">
    <w:name w:val="Subtitle"/>
    <w:basedOn w:val="731"/>
    <w:next w:val="731"/>
    <w:link w:val="748"/>
    <w:uiPriority w:val="11"/>
    <w:qFormat/>
    <w:pPr>
      <w:spacing w:before="200" w:after="200"/>
    </w:pPr>
  </w:style>
  <w:style w:type="paragraph" w:styleId="778">
    <w:name w:val="Quote"/>
    <w:basedOn w:val="731"/>
    <w:next w:val="731"/>
    <w:link w:val="749"/>
    <w:uiPriority w:val="29"/>
    <w:qFormat/>
    <w:pPr>
      <w:ind w:left="720" w:right="720" w:firstLine="0"/>
    </w:pPr>
    <w:rPr>
      <w:i/>
    </w:rPr>
  </w:style>
  <w:style w:type="paragraph" w:styleId="779">
    <w:name w:val="Intense Quote"/>
    <w:basedOn w:val="731"/>
    <w:next w:val="731"/>
    <w:link w:val="75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0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1">
    <w:name w:val="endnote text"/>
    <w:basedOn w:val="731"/>
    <w:link w:val="755"/>
    <w:uiPriority w:val="99"/>
    <w:semiHidden/>
    <w:unhideWhenUsed/>
    <w:rPr>
      <w:sz w:val="20"/>
    </w:rPr>
  </w:style>
  <w:style w:type="paragraph" w:styleId="782">
    <w:name w:val="toc 1"/>
    <w:basedOn w:val="731"/>
    <w:next w:val="731"/>
    <w:uiPriority w:val="39"/>
    <w:unhideWhenUsed/>
    <w:pPr>
      <w:spacing w:before="0" w:after="57"/>
    </w:pPr>
  </w:style>
  <w:style w:type="paragraph" w:styleId="783">
    <w:name w:val="toc 3"/>
    <w:basedOn w:val="731"/>
    <w:next w:val="731"/>
    <w:uiPriority w:val="39"/>
    <w:unhideWhenUsed/>
    <w:pPr>
      <w:ind w:left="567" w:firstLine="0"/>
      <w:spacing w:before="0" w:after="57"/>
    </w:pPr>
  </w:style>
  <w:style w:type="paragraph" w:styleId="784">
    <w:name w:val="toc 4"/>
    <w:basedOn w:val="731"/>
    <w:next w:val="731"/>
    <w:uiPriority w:val="39"/>
    <w:unhideWhenUsed/>
    <w:pPr>
      <w:ind w:left="850" w:firstLine="0"/>
      <w:spacing w:before="0" w:after="57"/>
    </w:pPr>
  </w:style>
  <w:style w:type="paragraph" w:styleId="785">
    <w:name w:val="toc 5"/>
    <w:basedOn w:val="731"/>
    <w:next w:val="731"/>
    <w:uiPriority w:val="39"/>
    <w:unhideWhenUsed/>
    <w:pPr>
      <w:ind w:left="1134" w:firstLine="0"/>
      <w:spacing w:before="0" w:after="57"/>
    </w:pPr>
  </w:style>
  <w:style w:type="paragraph" w:styleId="786">
    <w:name w:val="toc 6"/>
    <w:basedOn w:val="731"/>
    <w:next w:val="731"/>
    <w:uiPriority w:val="39"/>
    <w:unhideWhenUsed/>
    <w:pPr>
      <w:ind w:left="1417" w:firstLine="0"/>
      <w:spacing w:before="0" w:after="57"/>
    </w:pPr>
  </w:style>
  <w:style w:type="paragraph" w:styleId="787">
    <w:name w:val="toc 7"/>
    <w:basedOn w:val="731"/>
    <w:next w:val="731"/>
    <w:uiPriority w:val="39"/>
    <w:unhideWhenUsed/>
    <w:pPr>
      <w:ind w:left="1701" w:firstLine="0"/>
      <w:spacing w:before="0" w:after="57"/>
    </w:pPr>
  </w:style>
  <w:style w:type="paragraph" w:styleId="788">
    <w:name w:val="toc 8"/>
    <w:basedOn w:val="731"/>
    <w:next w:val="731"/>
    <w:uiPriority w:val="39"/>
    <w:unhideWhenUsed/>
    <w:pPr>
      <w:ind w:left="1984" w:firstLine="0"/>
      <w:spacing w:before="0" w:after="57"/>
    </w:pPr>
  </w:style>
  <w:style w:type="paragraph" w:styleId="789">
    <w:name w:val="toc 9"/>
    <w:basedOn w:val="731"/>
    <w:next w:val="731"/>
    <w:uiPriority w:val="39"/>
    <w:unhideWhenUsed/>
    <w:pPr>
      <w:ind w:left="2268" w:firstLine="0"/>
      <w:spacing w:before="0" w:after="57"/>
    </w:pPr>
  </w:style>
  <w:style w:type="paragraph" w:styleId="790">
    <w:name w:val="Index Heading"/>
    <w:basedOn w:val="771"/>
  </w:style>
  <w:style w:type="paragraph" w:styleId="79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2">
    <w:name w:val="table of figures"/>
    <w:basedOn w:val="731"/>
    <w:next w:val="731"/>
    <w:uiPriority w:val="99"/>
    <w:unhideWhenUsed/>
    <w:qFormat/>
  </w:style>
  <w:style w:type="paragraph" w:styleId="793">
    <w:name w:val="Body Text Indent 3"/>
    <w:basedOn w:val="73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4">
    <w:name w:val="Колонтитул"/>
    <w:basedOn w:val="731"/>
    <w:qFormat/>
  </w:style>
  <w:style w:type="paragraph" w:styleId="795">
    <w:name w:val="Header"/>
    <w:basedOn w:val="731"/>
    <w:link w:val="761"/>
    <w:uiPriority w:val="99"/>
    <w:unhideWhenUsed/>
    <w:qFormat/>
  </w:style>
  <w:style w:type="paragraph" w:styleId="796">
    <w:name w:val="Footer"/>
    <w:basedOn w:val="731"/>
    <w:link w:val="762"/>
    <w:uiPriority w:val="99"/>
    <w:unhideWhenUsed/>
    <w:qFormat/>
  </w:style>
  <w:style w:type="paragraph" w:styleId="797">
    <w:name w:val="Normal (Web)"/>
    <w:basedOn w:val="73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79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799" w:customStyle="1">
    <w:name w:val="rezul"/>
    <w:basedOn w:val="73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0" w:customStyle="1">
    <w:name w:val="Заголов1"/>
    <w:basedOn w:val="73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1">
    <w:name w:val="List Paragraph"/>
    <w:basedOn w:val="731"/>
    <w:uiPriority w:val="99"/>
    <w:qFormat/>
    <w:pPr>
      <w:contextualSpacing/>
      <w:ind w:left="720" w:firstLine="0"/>
      <w:spacing w:before="0" w:after="0"/>
    </w:pPr>
  </w:style>
  <w:style w:type="paragraph" w:styleId="802">
    <w:name w:val="footnote text"/>
    <w:basedOn w:val="731"/>
    <w:link w:val="769"/>
    <w:rPr>
      <w:sz w:val="20"/>
      <w:szCs w:val="20"/>
      <w:lang w:eastAsia="zh-CN"/>
    </w:rPr>
  </w:style>
  <w:style w:type="paragraph" w:styleId="803">
    <w:name w:val="Balloon Text"/>
    <w:basedOn w:val="731"/>
    <w:link w:val="77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4" w:default="1">
    <w:name w:val="No List"/>
    <w:uiPriority w:val="99"/>
    <w:semiHidden/>
    <w:unhideWhenUsed/>
    <w:qFormat/>
  </w:style>
  <w:style w:type="table" w:styleId="8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>
    <w:name w:val="Plain Table 1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8">
    <w:name w:val="Plain Table 2"/>
    <w:basedOn w:val="8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9">
    <w:name w:val="Plain Table 3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8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8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8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5" w:customStyle="1">
    <w:name w:val="Grid Table 4 - Accent 2"/>
    <w:basedOn w:val="8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6" w:customStyle="1">
    <w:name w:val="Grid Table 4 - Accent 3"/>
    <w:basedOn w:val="8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7" w:customStyle="1">
    <w:name w:val="Grid Table 4 - Accent 4"/>
    <w:basedOn w:val="8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38" w:customStyle="1">
    <w:name w:val="Grid Table 4 - Accent 5"/>
    <w:basedOn w:val="8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8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8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8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8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8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8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8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8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8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>
    <w:name w:val="List Table 1 Light"/>
    <w:basedOn w:val="80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80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80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80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80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80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80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8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5">
    <w:name w:val="List Table 3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8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>
    <w:name w:val="List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7" w:customStyle="1">
    <w:name w:val="List Table 6 Colorful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99" w:customStyle="1">
    <w:name w:val="List Table 6 Colorful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0" w:customStyle="1">
    <w:name w:val="List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1" w:customStyle="1">
    <w:name w:val="List Table 6 Colorful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2" w:customStyle="1">
    <w:name w:val="List Table 6 Colorful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3">
    <w:name w:val="List Table 7 Colorful"/>
    <w:basedOn w:val="8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8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8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8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8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8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8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1" w:customStyle="1">
    <w:name w:val="Lined - Accent 1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2" w:customStyle="1">
    <w:name w:val="Lined - Accent 2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3" w:customStyle="1">
    <w:name w:val="Lined - Accent 3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4" w:customStyle="1">
    <w:name w:val="Lined - Accent 4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5" w:customStyle="1">
    <w:name w:val="Lined - Accent 5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6" w:customStyle="1">
    <w:name w:val="Lined - Accent 6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7" w:customStyle="1">
    <w:name w:val="Bordered &amp; Lined - Accent"/>
    <w:basedOn w:val="8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8" w:customStyle="1">
    <w:name w:val="Bordered &amp; Lined - Accent 1"/>
    <w:basedOn w:val="8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9" w:customStyle="1">
    <w:name w:val="Bordered &amp; Lined - Accent 2"/>
    <w:basedOn w:val="8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0" w:customStyle="1">
    <w:name w:val="Bordered &amp; Lined - Accent 3"/>
    <w:basedOn w:val="8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1" w:customStyle="1">
    <w:name w:val="Bordered &amp; Lined - Accent 4"/>
    <w:basedOn w:val="8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2" w:customStyle="1">
    <w:name w:val="Bordered &amp; Lined - Accent 5"/>
    <w:basedOn w:val="8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3" w:customStyle="1">
    <w:name w:val="Bordered &amp; Lined - Accent 6"/>
    <w:basedOn w:val="8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4" w:customStyle="1">
    <w:name w:val="Bordered"/>
    <w:basedOn w:val="8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5" w:customStyle="1">
    <w:name w:val="Bordered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7" w:customStyle="1">
    <w:name w:val="Bordered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28" w:customStyle="1">
    <w:name w:val="Bordered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29" w:customStyle="1">
    <w:name w:val="Bordered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0" w:customStyle="1">
    <w:name w:val="Bordered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1">
    <w:name w:val="Table Grid"/>
    <w:basedOn w:val="8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38</cp:revision>
  <dcterms:created xsi:type="dcterms:W3CDTF">2023-10-31T06:24:00Z</dcterms:created>
  <dcterms:modified xsi:type="dcterms:W3CDTF">2025-01-15T08:00:59Z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