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3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00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</w:rPr>
        <w:t xml:space="preserve">17 декабря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по продаже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Участниками аукциона являются граждане.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</w:t>
      </w:r>
      <w:r>
        <w:rPr>
          <w:rFonts w:ascii="Times New Roman" w:hAnsi="Times New Roman"/>
          <w:sz w:val="22"/>
          <w:szCs w:val="22"/>
        </w:rPr>
        <w:t xml:space="preserve">иона – </w:t>
      </w:r>
      <w:r>
        <w:rPr>
          <w:rFonts w:ascii="Times New Roman" w:hAnsi="Times New Roman"/>
          <w:sz w:val="22"/>
          <w:szCs w:val="22"/>
        </w:rPr>
        <w:t xml:space="preserve">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</w:t>
      </w:r>
      <w:r>
        <w:rPr>
          <w:rFonts w:ascii="Times New Roman" w:hAnsi="Times New Roman"/>
          <w:sz w:val="22"/>
          <w:szCs w:val="22"/>
        </w:rPr>
        <w:t xml:space="preserve">6 августа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1368 «</w:t>
      </w:r>
      <w:r>
        <w:rPr>
          <w:rFonts w:ascii="Times New Roman" w:hAnsi="Times New Roman"/>
          <w:sz w:val="22"/>
          <w:szCs w:val="22"/>
        </w:rPr>
        <w:t xml:space="preserve">Об отказе в предоставлении в собственность и о проведении аукциона по продаже земельного участка, имеющего местоположение: Костромская область, город Кострома, улица Славянская, земельный участок 122</w:t>
      </w:r>
      <w:r>
        <w:rPr>
          <w:rFonts w:ascii="Times New Roman" w:hAnsi="Times New Roman"/>
          <w:sz w:val="22"/>
          <w:szCs w:val="22"/>
        </w:rPr>
        <w:t xml:space="preserve">»</w:t>
      </w:r>
      <w:r>
        <w:rPr>
          <w:rFonts w:ascii="Times New Roman" w:hAnsi="Times New Roman"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адрес</w:t>
      </w:r>
      <w:r>
        <w:rPr>
          <w:rFonts w:ascii="Times New Roman" w:hAnsi="Times New Roman"/>
          <w:color w:val="000000"/>
          <w:sz w:val="22"/>
          <w:szCs w:val="22"/>
        </w:rPr>
        <w:t xml:space="preserve">: Российская Федерация, Костромская область, городской округ город Кострома, город Кострома, улица Славянская, земельный участок 122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площадь: 407</w:t>
      </w:r>
      <w:r>
        <w:rPr>
          <w:rFonts w:ascii="Times New Roman" w:hAnsi="Times New Roman"/>
          <w:sz w:val="22"/>
          <w:szCs w:val="22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кадастровый номер: 44:27:020318</w:t>
      </w:r>
      <w:r>
        <w:rPr>
          <w:rFonts w:ascii="Times New Roman" w:hAnsi="Times New Roman"/>
          <w:sz w:val="22"/>
          <w:szCs w:val="22"/>
        </w:rPr>
        <w:t xml:space="preserve">:</w:t>
      </w:r>
      <w:r>
        <w:rPr>
          <w:rFonts w:ascii="Times New Roman" w:hAnsi="Times New Roman"/>
          <w:sz w:val="22"/>
          <w:szCs w:val="22"/>
        </w:rPr>
        <w:t xml:space="preserve">263;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е: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2"/>
          <w:szCs w:val="22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2"/>
          <w:szCs w:val="22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ства: </w:t>
      </w:r>
      <w:r>
        <w:rPr>
          <w:rFonts w:ascii="Times New Roman" w:hAnsi="Times New Roman"/>
          <w:sz w:val="22"/>
          <w:szCs w:val="22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2"/>
          <w:szCs w:val="22"/>
          <w:highlight w:val="white"/>
        </w:rPr>
        <w:t xml:space="preserve">18.</w:t>
      </w:r>
      <w:r>
        <w:rPr>
          <w:rFonts w:ascii="Times New Roman" w:hAnsi="Times New Roman"/>
          <w:sz w:val="22"/>
          <w:szCs w:val="22"/>
          <w:highlight w:val="white"/>
        </w:rPr>
        <w:t xml:space="preserve">09.2024 № исх.02.11/</w:t>
      </w:r>
      <w:r>
        <w:rPr>
          <w:rFonts w:ascii="Times New Roman" w:hAnsi="Times New Roman"/>
          <w:sz w:val="22"/>
          <w:szCs w:val="22"/>
          <w:highlight w:val="white"/>
        </w:rPr>
        <w:t xml:space="preserve">6538д, от 23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  <w:t xml:space="preserve">09.2024 № исх.02.11/6649д</w:t>
      </w:r>
      <w:r>
        <w:rPr>
          <w:rFonts w:ascii="Times New Roman" w:hAnsi="Times New Roman"/>
          <w:sz w:val="22"/>
          <w:szCs w:val="22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2"/>
          <w:szCs w:val="22"/>
          <w:highlight w:val="white"/>
        </w:rPr>
        <w:t xml:space="preserve">19.</w:t>
      </w:r>
      <w:r>
        <w:rPr>
          <w:rFonts w:ascii="Times New Roman" w:hAnsi="Times New Roman"/>
          <w:sz w:val="22"/>
          <w:szCs w:val="22"/>
          <w:highlight w:val="white"/>
        </w:rPr>
        <w:t xml:space="preserve">09.2024 № ИС-15/</w:t>
      </w:r>
      <w:r>
        <w:rPr>
          <w:rFonts w:ascii="Times New Roman" w:hAnsi="Times New Roman"/>
          <w:sz w:val="22"/>
          <w:szCs w:val="22"/>
          <w:highlight w:val="white"/>
        </w:rPr>
        <w:t xml:space="preserve">5370, </w:t>
      </w:r>
      <w:r>
        <w:rPr>
          <w:rFonts w:ascii="Times New Roman" w:hAnsi="Times New Roman"/>
          <w:sz w:val="22"/>
          <w:szCs w:val="22"/>
          <w:highlight w:val="white"/>
        </w:rPr>
        <w:t xml:space="preserve">теплоснабжение от </w:t>
      </w:r>
      <w:r>
        <w:rPr>
          <w:rFonts w:ascii="Times New Roman" w:hAnsi="Times New Roman"/>
          <w:sz w:val="22"/>
          <w:szCs w:val="22"/>
          <w:highlight w:val="white"/>
        </w:rPr>
        <w:t xml:space="preserve">ПАО «ТГК-2»</w:t>
      </w:r>
      <w:r>
        <w:rPr>
          <w:rFonts w:ascii="Times New Roman" w:hAnsi="Times New Roman"/>
          <w:sz w:val="22"/>
          <w:szCs w:val="22"/>
          <w:highlight w:val="white"/>
        </w:rPr>
        <w:t xml:space="preserve"> от </w:t>
      </w:r>
      <w:r>
        <w:rPr>
          <w:rFonts w:ascii="Times New Roman" w:hAnsi="Times New Roman"/>
          <w:sz w:val="22"/>
          <w:szCs w:val="22"/>
          <w:highlight w:val="white"/>
        </w:rPr>
        <w:t xml:space="preserve">18.</w:t>
      </w:r>
      <w:r>
        <w:rPr>
          <w:rFonts w:ascii="Times New Roman" w:hAnsi="Times New Roman"/>
          <w:sz w:val="22"/>
          <w:szCs w:val="22"/>
          <w:highlight w:val="white"/>
        </w:rPr>
        <w:t xml:space="preserve">09.2024 № </w:t>
      </w:r>
      <w:r>
        <w:rPr>
          <w:rFonts w:ascii="Times New Roman" w:hAnsi="Times New Roman"/>
          <w:sz w:val="22"/>
          <w:szCs w:val="22"/>
          <w:highlight w:val="white"/>
        </w:rPr>
        <w:t xml:space="preserve">4201/1224-2024</w:t>
      </w:r>
      <w:r>
        <w:rPr>
          <w:rFonts w:ascii="Times New Roman" w:hAnsi="Times New Roman"/>
          <w:sz w:val="22"/>
          <w:szCs w:val="22"/>
          <w:highlight w:val="white"/>
        </w:rPr>
        <w:t xml:space="preserve">, </w:t>
      </w:r>
      <w:r>
        <w:rPr>
          <w:rFonts w:ascii="Times New Roman" w:hAnsi="Times New Roman"/>
          <w:sz w:val="22"/>
          <w:szCs w:val="22"/>
          <w:highlight w:val="white"/>
        </w:rPr>
        <w:t xml:space="preserve">от МУП г.Костромы «Городские сети» от 18.09.2024 №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13-0</w:t>
      </w:r>
      <w:r>
        <w:rPr>
          <w:rFonts w:ascii="Times New Roman" w:hAnsi="Times New Roman"/>
          <w:sz w:val="22"/>
          <w:szCs w:val="22"/>
          <w:highlight w:val="white"/>
        </w:rPr>
        <w:t xml:space="preserve">1/04160;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</w:t>
      </w:r>
      <w:r>
        <w:rPr>
          <w:rFonts w:ascii="Times New Roman" w:hAnsi="Times New Roman"/>
          <w:sz w:val="22"/>
          <w:szCs w:val="22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2"/>
          <w:szCs w:val="22"/>
          <w:highlight w:val="white"/>
        </w:rPr>
        <w:t xml:space="preserve">: 1 </w:t>
      </w:r>
      <w:r>
        <w:rPr>
          <w:rFonts w:ascii="Times New Roman" w:hAnsi="Times New Roman"/>
          <w:sz w:val="22"/>
          <w:szCs w:val="22"/>
          <w:highlight w:val="white"/>
        </w:rPr>
        <w:t xml:space="preserve">563 000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пятьсот шестьдесят три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тысячи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шаг аукциона: 46 890</w:t>
      </w:r>
      <w:r>
        <w:rPr>
          <w:rFonts w:ascii="Times New Roman" w:hAnsi="Times New Roman"/>
          <w:sz w:val="22"/>
          <w:szCs w:val="22"/>
          <w:highlight w:val="white"/>
        </w:rPr>
        <w:t xml:space="preserve"> (Сорок шесть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 восемьсот девяносто)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размер задатка: 390 750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(Триста девяносто тысяч семьсот пятьдесят</w:t>
      </w:r>
      <w:r>
        <w:rPr>
          <w:rFonts w:ascii="Times New Roman" w:hAnsi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/>
          <w:sz w:val="22"/>
          <w:szCs w:val="22"/>
          <w:highlight w:val="white"/>
        </w:rPr>
        <w:t xml:space="preserve"> рубл</w:t>
      </w:r>
      <w:r>
        <w:rPr>
          <w:rFonts w:ascii="Times New Roman" w:hAnsi="Times New Roman"/>
          <w:sz w:val="22"/>
          <w:szCs w:val="22"/>
          <w:highlight w:val="white"/>
        </w:rPr>
        <w:t xml:space="preserve">ей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59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12 ноября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13 декабря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highlight w:val="none"/>
          <w:shd w:val="clear" w:color="auto" w:fill="ffffff"/>
        </w:rPr>
        <w:t xml:space="preserve">16 декабря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59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16 декабря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59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59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17 декабря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купли - продажи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купли - продажи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купли - продажи земельного участка, подписанный проект договора купли – продажи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купли - продажи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,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18.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Земельный участок в со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застройки города Костромы, утвержденными постановлением Администрации города Костромы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 28 июня 2021 года № 1130 (с изм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индивидуальными жилыми домами Ж-1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Ж-1.3 - 30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-Ж-1, Ж-1.3 - 40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1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1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</w:rPr>
        <w:t xml:space="preserve">_________</w:t>
      </w:r>
      <w:r>
        <w:rPr>
          <w:rFonts w:ascii="Times New Roman" w:hAnsi="Times New Roman" w:cs="Times New Roman"/>
          <w:color w:val="000000"/>
        </w:rPr>
        <w:t xml:space="preserve">рублей зачисляется в счет платежа по настоящему договору за земельный участок.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обязательства. Пени уплачиваются по реквизитам, указанным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hAnsi="Times New Roman" w:cs="Times New Roman"/>
          <w:sz w:val="24"/>
          <w:szCs w:val="24"/>
        </w:rPr>
        <w:t xml:space="preserve">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4"/>
          <w:szCs w:val="24"/>
        </w:rPr>
      </w:r>
      <w:r>
        <w:rPr>
          <w:sz w:val="22"/>
          <w:szCs w:val="22"/>
        </w:rPr>
      </w:r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765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731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567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76"/>
    <w:uiPriority w:val="10"/>
    <w:rPr>
      <w:sz w:val="48"/>
      <w:szCs w:val="48"/>
    </w:rPr>
  </w:style>
  <w:style w:type="character" w:styleId="726">
    <w:name w:val="Subtitle Char"/>
    <w:basedOn w:val="741"/>
    <w:link w:val="777"/>
    <w:uiPriority w:val="11"/>
    <w:rPr>
      <w:sz w:val="24"/>
      <w:szCs w:val="24"/>
    </w:rPr>
  </w:style>
  <w:style w:type="character" w:styleId="727">
    <w:name w:val="Quote Char"/>
    <w:link w:val="778"/>
    <w:uiPriority w:val="29"/>
    <w:rPr>
      <w:i/>
    </w:rPr>
  </w:style>
  <w:style w:type="character" w:styleId="728">
    <w:name w:val="Intense Quote Char"/>
    <w:link w:val="779"/>
    <w:uiPriority w:val="30"/>
    <w:rPr>
      <w:i/>
    </w:rPr>
  </w:style>
  <w:style w:type="character" w:styleId="729">
    <w:name w:val="Endnote Text Char"/>
    <w:link w:val="781"/>
    <w:uiPriority w:val="99"/>
    <w:rPr>
      <w:sz w:val="20"/>
    </w:rPr>
  </w:style>
  <w:style w:type="paragraph" w:styleId="730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3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2">
    <w:name w:val="Heading 1"/>
    <w:basedOn w:val="731"/>
    <w:next w:val="731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  <w:qFormat/>
  </w:style>
  <w:style w:type="character" w:styleId="742" w:customStyle="1">
    <w:name w:val="Заголовок 2 Знак"/>
    <w:basedOn w:val="741"/>
    <w:uiPriority w:val="9"/>
    <w:qFormat/>
    <w:rPr>
      <w:rFonts w:ascii="Arial" w:hAnsi="Arial" w:eastAsia="Arial" w:cs="Arial"/>
      <w:sz w:val="34"/>
    </w:rPr>
  </w:style>
  <w:style w:type="character" w:styleId="743" w:customStyle="1">
    <w:name w:val="Заголовок 6 Знак"/>
    <w:basedOn w:val="7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Заголовок Знак"/>
    <w:basedOn w:val="741"/>
    <w:uiPriority w:val="10"/>
    <w:qFormat/>
    <w:rPr>
      <w:sz w:val="48"/>
      <w:szCs w:val="48"/>
    </w:rPr>
  </w:style>
  <w:style w:type="character" w:styleId="748" w:customStyle="1">
    <w:name w:val="Подзаголовок Знак"/>
    <w:basedOn w:val="741"/>
    <w:uiPriority w:val="11"/>
    <w:qFormat/>
    <w:rPr>
      <w:sz w:val="24"/>
      <w:szCs w:val="24"/>
    </w:rPr>
  </w:style>
  <w:style w:type="character" w:styleId="749" w:customStyle="1">
    <w:name w:val="Цитата 2 Знак"/>
    <w:link w:val="778"/>
    <w:uiPriority w:val="29"/>
    <w:qFormat/>
    <w:rPr>
      <w:i/>
    </w:rPr>
  </w:style>
  <w:style w:type="character" w:styleId="750" w:customStyle="1">
    <w:name w:val="Выделенная цитата Знак"/>
    <w:link w:val="779"/>
    <w:uiPriority w:val="30"/>
    <w:qFormat/>
    <w:rPr>
      <w:i/>
    </w:rPr>
  </w:style>
  <w:style w:type="character" w:styleId="751" w:customStyle="1">
    <w:name w:val="Header Char"/>
    <w:basedOn w:val="741"/>
    <w:uiPriority w:val="99"/>
    <w:qFormat/>
  </w:style>
  <w:style w:type="character" w:styleId="752" w:customStyle="1">
    <w:name w:val="Footer Char"/>
    <w:basedOn w:val="741"/>
    <w:uiPriority w:val="99"/>
    <w:qFormat/>
  </w:style>
  <w:style w:type="character" w:styleId="753" w:customStyle="1">
    <w:name w:val="Caption Char"/>
    <w:uiPriority w:val="99"/>
    <w:qFormat/>
  </w:style>
  <w:style w:type="character" w:styleId="754" w:customStyle="1">
    <w:name w:val="Footnote Text Char"/>
    <w:uiPriority w:val="99"/>
    <w:qFormat/>
    <w:rPr>
      <w:sz w:val="18"/>
    </w:rPr>
  </w:style>
  <w:style w:type="character" w:styleId="755" w:customStyle="1">
    <w:name w:val="Текст концевой сноски Знак"/>
    <w:uiPriority w:val="99"/>
    <w:qFormat/>
    <w:rPr>
      <w:sz w:val="20"/>
    </w:rPr>
  </w:style>
  <w:style w:type="character" w:styleId="756">
    <w:name w:val="Символ концевой сноски"/>
    <w:basedOn w:val="741"/>
    <w:uiPriority w:val="99"/>
    <w:semiHidden/>
    <w:unhideWhenUsed/>
    <w:qFormat/>
    <w:rPr>
      <w:vertAlign w:val="superscript"/>
    </w:rPr>
  </w:style>
  <w:style w:type="character" w:styleId="757">
    <w:name w:val="endnote reference"/>
    <w:rPr>
      <w:vertAlign w:val="superscript"/>
    </w:rPr>
  </w:style>
  <w:style w:type="character" w:styleId="758">
    <w:name w:val="FollowedHyperlink"/>
    <w:basedOn w:val="741"/>
    <w:uiPriority w:val="99"/>
    <w:unhideWhenUsed/>
    <w:qFormat/>
    <w:rPr>
      <w:color w:val="800080"/>
      <w:u w:val="single"/>
    </w:rPr>
  </w:style>
  <w:style w:type="character" w:styleId="759">
    <w:name w:val="Hyperlink"/>
    <w:basedOn w:val="741"/>
    <w:uiPriority w:val="99"/>
    <w:unhideWhenUsed/>
    <w:qFormat/>
    <w:rPr>
      <w:color w:val="0000ff"/>
      <w:u w:val="single"/>
    </w:rPr>
  </w:style>
  <w:style w:type="character" w:styleId="760">
    <w:name w:val="Strong"/>
    <w:basedOn w:val="741"/>
    <w:qFormat/>
    <w:rPr>
      <w:rFonts w:cs="Times New Roman"/>
      <w:b/>
      <w:bCs/>
    </w:rPr>
  </w:style>
  <w:style w:type="character" w:styleId="761" w:customStyle="1">
    <w:name w:val="Верх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2" w:customStyle="1">
    <w:name w:val="Ниж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3" w:customStyle="1">
    <w:name w:val="10"/>
    <w:basedOn w:val="741"/>
    <w:qFormat/>
    <w:rPr>
      <w:rFonts w:ascii="Times New Roman" w:hAnsi="Times New Roman" w:cs="Times New Roman"/>
    </w:rPr>
  </w:style>
  <w:style w:type="character" w:styleId="764" w:customStyle="1">
    <w:name w:val="15"/>
    <w:basedOn w:val="741"/>
    <w:qFormat/>
    <w:rPr>
      <w:rFonts w:ascii="Times New Roman" w:hAnsi="Times New Roman" w:cs="Times New Roman"/>
      <w:color w:val="0000ff"/>
      <w:u w:val="single"/>
    </w:rPr>
  </w:style>
  <w:style w:type="character" w:styleId="765" w:customStyle="1">
    <w:name w:val="16"/>
    <w:basedOn w:val="741"/>
    <w:qFormat/>
    <w:rPr>
      <w:rFonts w:ascii="Times New Roman" w:hAnsi="Times New Roman" w:cs="Times New Roman"/>
    </w:rPr>
  </w:style>
  <w:style w:type="character" w:styleId="766" w:customStyle="1">
    <w:name w:val="rts-text"/>
    <w:basedOn w:val="741"/>
    <w:qFormat/>
  </w:style>
  <w:style w:type="character" w:styleId="767">
    <w:name w:val="Символ сноски"/>
    <w:qFormat/>
    <w:rPr>
      <w:vertAlign w:val="superscript"/>
    </w:rPr>
  </w:style>
  <w:style w:type="character" w:styleId="768">
    <w:name w:val="footnote reference"/>
    <w:rPr>
      <w:vertAlign w:val="superscript"/>
    </w:rPr>
  </w:style>
  <w:style w:type="character" w:styleId="769" w:customStyle="1">
    <w:name w:val="Текст сноски Знак"/>
    <w:basedOn w:val="741"/>
    <w:qFormat/>
    <w:rPr>
      <w:rFonts w:ascii="Times New Roman" w:hAnsi="Times New Roman" w:eastAsia="Times New Roman" w:cs="Times New Roman"/>
      <w:lang w:eastAsia="zh-CN"/>
    </w:rPr>
  </w:style>
  <w:style w:type="character" w:styleId="770" w:customStyle="1">
    <w:name w:val="Текст выноски Знак"/>
    <w:basedOn w:val="741"/>
    <w:link w:val="80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1">
    <w:name w:val="Заголовок"/>
    <w:basedOn w:val="731"/>
    <w:next w:val="77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2">
    <w:name w:val="Body Text"/>
    <w:basedOn w:val="731"/>
    <w:pPr>
      <w:spacing w:before="0" w:after="140" w:line="276" w:lineRule="auto"/>
    </w:pPr>
  </w:style>
  <w:style w:type="paragraph" w:styleId="773">
    <w:name w:val="List"/>
    <w:basedOn w:val="772"/>
    <w:rPr>
      <w:rFonts w:cs="Mangal"/>
    </w:rPr>
  </w:style>
  <w:style w:type="paragraph" w:styleId="774">
    <w:name w:val="Caption"/>
    <w:basedOn w:val="7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5">
    <w:name w:val="Указатель"/>
    <w:basedOn w:val="731"/>
    <w:qFormat/>
    <w:pPr>
      <w:suppressLineNumbers/>
    </w:pPr>
    <w:rPr>
      <w:rFonts w:cs="Mangal"/>
    </w:rPr>
  </w:style>
  <w:style w:type="paragraph" w:styleId="776">
    <w:name w:val="Title"/>
    <w:basedOn w:val="731"/>
    <w:next w:val="731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7">
    <w:name w:val="Subtitle"/>
    <w:basedOn w:val="731"/>
    <w:next w:val="731"/>
    <w:link w:val="748"/>
    <w:uiPriority w:val="11"/>
    <w:qFormat/>
    <w:pPr>
      <w:spacing w:before="200" w:after="200"/>
    </w:pPr>
  </w:style>
  <w:style w:type="paragraph" w:styleId="778">
    <w:name w:val="Quote"/>
    <w:basedOn w:val="731"/>
    <w:next w:val="731"/>
    <w:link w:val="749"/>
    <w:uiPriority w:val="29"/>
    <w:qFormat/>
    <w:pPr>
      <w:ind w:left="720" w:right="720" w:firstLine="0"/>
    </w:pPr>
    <w:rPr>
      <w:i/>
    </w:rPr>
  </w:style>
  <w:style w:type="paragraph" w:styleId="779">
    <w:name w:val="Intense Quote"/>
    <w:basedOn w:val="731"/>
    <w:next w:val="731"/>
    <w:link w:val="75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0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1">
    <w:name w:val="endnote text"/>
    <w:basedOn w:val="731"/>
    <w:link w:val="755"/>
    <w:uiPriority w:val="99"/>
    <w:semiHidden/>
    <w:unhideWhenUsed/>
    <w:rPr>
      <w:sz w:val="20"/>
    </w:rPr>
  </w:style>
  <w:style w:type="paragraph" w:styleId="782">
    <w:name w:val="toc 1"/>
    <w:basedOn w:val="731"/>
    <w:next w:val="731"/>
    <w:uiPriority w:val="39"/>
    <w:unhideWhenUsed/>
    <w:pPr>
      <w:spacing w:before="0" w:after="57"/>
    </w:pPr>
  </w:style>
  <w:style w:type="paragraph" w:styleId="783">
    <w:name w:val="toc 3"/>
    <w:basedOn w:val="731"/>
    <w:next w:val="731"/>
    <w:uiPriority w:val="39"/>
    <w:unhideWhenUsed/>
    <w:pPr>
      <w:ind w:left="567" w:firstLine="0"/>
      <w:spacing w:before="0" w:after="57"/>
    </w:pPr>
  </w:style>
  <w:style w:type="paragraph" w:styleId="784">
    <w:name w:val="toc 4"/>
    <w:basedOn w:val="731"/>
    <w:next w:val="731"/>
    <w:uiPriority w:val="39"/>
    <w:unhideWhenUsed/>
    <w:pPr>
      <w:ind w:left="850" w:firstLine="0"/>
      <w:spacing w:before="0" w:after="57"/>
    </w:pPr>
  </w:style>
  <w:style w:type="paragraph" w:styleId="785">
    <w:name w:val="toc 5"/>
    <w:basedOn w:val="731"/>
    <w:next w:val="731"/>
    <w:uiPriority w:val="39"/>
    <w:unhideWhenUsed/>
    <w:pPr>
      <w:ind w:left="1134" w:firstLine="0"/>
      <w:spacing w:before="0" w:after="57"/>
    </w:pPr>
  </w:style>
  <w:style w:type="paragraph" w:styleId="786">
    <w:name w:val="toc 6"/>
    <w:basedOn w:val="731"/>
    <w:next w:val="731"/>
    <w:uiPriority w:val="39"/>
    <w:unhideWhenUsed/>
    <w:pPr>
      <w:ind w:left="1417" w:firstLine="0"/>
      <w:spacing w:before="0" w:after="57"/>
    </w:pPr>
  </w:style>
  <w:style w:type="paragraph" w:styleId="787">
    <w:name w:val="toc 7"/>
    <w:basedOn w:val="731"/>
    <w:next w:val="731"/>
    <w:uiPriority w:val="39"/>
    <w:unhideWhenUsed/>
    <w:pPr>
      <w:ind w:left="1701" w:firstLine="0"/>
      <w:spacing w:before="0" w:after="57"/>
    </w:pPr>
  </w:style>
  <w:style w:type="paragraph" w:styleId="788">
    <w:name w:val="toc 8"/>
    <w:basedOn w:val="731"/>
    <w:next w:val="731"/>
    <w:uiPriority w:val="39"/>
    <w:unhideWhenUsed/>
    <w:pPr>
      <w:ind w:left="1984" w:firstLine="0"/>
      <w:spacing w:before="0" w:after="57"/>
    </w:pPr>
  </w:style>
  <w:style w:type="paragraph" w:styleId="789">
    <w:name w:val="toc 9"/>
    <w:basedOn w:val="731"/>
    <w:next w:val="731"/>
    <w:uiPriority w:val="39"/>
    <w:unhideWhenUsed/>
    <w:pPr>
      <w:ind w:left="2268" w:firstLine="0"/>
      <w:spacing w:before="0" w:after="57"/>
    </w:pPr>
  </w:style>
  <w:style w:type="paragraph" w:styleId="790">
    <w:name w:val="Index Heading"/>
    <w:basedOn w:val="771"/>
  </w:style>
  <w:style w:type="paragraph" w:styleId="79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2">
    <w:name w:val="table of figures"/>
    <w:basedOn w:val="731"/>
    <w:next w:val="731"/>
    <w:uiPriority w:val="99"/>
    <w:unhideWhenUsed/>
    <w:qFormat/>
  </w:style>
  <w:style w:type="paragraph" w:styleId="793">
    <w:name w:val="Body Text Indent 3"/>
    <w:basedOn w:val="73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4">
    <w:name w:val="Колонтитул"/>
    <w:basedOn w:val="731"/>
    <w:qFormat/>
  </w:style>
  <w:style w:type="paragraph" w:styleId="795">
    <w:name w:val="Header"/>
    <w:basedOn w:val="731"/>
    <w:link w:val="761"/>
    <w:uiPriority w:val="99"/>
    <w:unhideWhenUsed/>
    <w:qFormat/>
  </w:style>
  <w:style w:type="paragraph" w:styleId="796">
    <w:name w:val="Footer"/>
    <w:basedOn w:val="731"/>
    <w:link w:val="762"/>
    <w:uiPriority w:val="99"/>
    <w:unhideWhenUsed/>
    <w:qFormat/>
  </w:style>
  <w:style w:type="paragraph" w:styleId="797">
    <w:name w:val="Normal (Web)"/>
    <w:basedOn w:val="73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79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799" w:customStyle="1">
    <w:name w:val="rezul"/>
    <w:basedOn w:val="73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0" w:customStyle="1">
    <w:name w:val="Заголов1"/>
    <w:basedOn w:val="73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1">
    <w:name w:val="List Paragraph"/>
    <w:basedOn w:val="731"/>
    <w:uiPriority w:val="99"/>
    <w:qFormat/>
    <w:pPr>
      <w:contextualSpacing/>
      <w:ind w:left="720" w:firstLine="0"/>
      <w:spacing w:before="0" w:after="0"/>
    </w:pPr>
  </w:style>
  <w:style w:type="paragraph" w:styleId="802">
    <w:name w:val="footnote text"/>
    <w:basedOn w:val="731"/>
    <w:link w:val="769"/>
    <w:rPr>
      <w:sz w:val="20"/>
      <w:szCs w:val="20"/>
      <w:lang w:eastAsia="zh-CN"/>
    </w:rPr>
  </w:style>
  <w:style w:type="paragraph" w:styleId="803">
    <w:name w:val="Balloon Text"/>
    <w:basedOn w:val="731"/>
    <w:link w:val="77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4" w:default="1">
    <w:name w:val="No List"/>
    <w:uiPriority w:val="99"/>
    <w:semiHidden/>
    <w:unhideWhenUsed/>
    <w:qFormat/>
  </w:style>
  <w:style w:type="table" w:styleId="8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8">
    <w:name w:val="Plain Table 2"/>
    <w:basedOn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9">
    <w:name w:val="Plain Table 3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8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8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8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5" w:customStyle="1">
    <w:name w:val="Grid Table 4 - Accent 2"/>
    <w:basedOn w:val="8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6" w:customStyle="1">
    <w:name w:val="Grid Table 4 - Accent 3"/>
    <w:basedOn w:val="8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7" w:customStyle="1">
    <w:name w:val="Grid Table 4 - Accent 4"/>
    <w:basedOn w:val="8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38" w:customStyle="1">
    <w:name w:val="Grid Table 4 - Accent 5"/>
    <w:basedOn w:val="8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8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8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8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8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8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8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8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8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8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basedOn w:val="80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80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80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80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80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80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80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8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5">
    <w:name w:val="List Table 3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8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>
    <w:name w:val="List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7" w:customStyle="1">
    <w:name w:val="List Table 6 Colorful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99" w:customStyle="1">
    <w:name w:val="List Table 6 Colorful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0" w:customStyle="1">
    <w:name w:val="List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1" w:customStyle="1">
    <w:name w:val="List Table 6 Colorful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2" w:customStyle="1">
    <w:name w:val="List Table 6 Colorful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3">
    <w:name w:val="List Table 7 Colorful"/>
    <w:basedOn w:val="8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8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8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8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8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8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8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Lined - Accent 1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Lined - Accent 2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Lined - Accent 3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Lined - Accent 4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Lined - Accent 5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6" w:customStyle="1">
    <w:name w:val="Lined - Accent 6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 &amp; Lined - Accent"/>
    <w:basedOn w:val="8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8" w:customStyle="1">
    <w:name w:val="Bordered &amp; Lined - Accent 1"/>
    <w:basedOn w:val="8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9" w:customStyle="1">
    <w:name w:val="Bordered &amp; Lined - Accent 2"/>
    <w:basedOn w:val="8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0" w:customStyle="1">
    <w:name w:val="Bordered &amp; Lined - Accent 3"/>
    <w:basedOn w:val="8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1" w:customStyle="1">
    <w:name w:val="Bordered &amp; Lined - Accent 4"/>
    <w:basedOn w:val="8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2" w:customStyle="1">
    <w:name w:val="Bordered &amp; Lined - Accent 5"/>
    <w:basedOn w:val="8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3" w:customStyle="1">
    <w:name w:val="Bordered &amp; Lined - Accent 6"/>
    <w:basedOn w:val="8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4" w:customStyle="1">
    <w:name w:val="Bordered"/>
    <w:basedOn w:val="8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5" w:customStyle="1">
    <w:name w:val="Bordered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7" w:customStyle="1">
    <w:name w:val="Bordered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28" w:customStyle="1">
    <w:name w:val="Bordered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29" w:customStyle="1">
    <w:name w:val="Bordered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0" w:customStyle="1">
    <w:name w:val="Bordered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1">
    <w:name w:val="Table Grid"/>
    <w:basedOn w:val="8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37</cp:revision>
  <dcterms:created xsi:type="dcterms:W3CDTF">2023-10-31T06:24:00Z</dcterms:created>
  <dcterms:modified xsi:type="dcterms:W3CDTF">2024-11-07T12:14:24Z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