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31"/>
        <w:ind w:left="5245" w:firstLine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от _________________ № _______</w:t>
      </w:r>
      <w:r>
        <w:rPr>
          <w:bCs/>
          <w:i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pStyle w:val="731"/>
        <w:ind w:left="5245"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  <w:r>
        <w:rPr>
          <w:b/>
          <w:bCs/>
          <w:sz w:val="20"/>
          <w:szCs w:val="20"/>
        </w:rPr>
      </w:r>
    </w:p>
    <w:p>
      <w:pPr>
        <w:pStyle w:val="800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ИЗВЕЩЕНИЕ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00"/>
        <w:numPr>
          <w:ilvl w:val="0"/>
          <w:numId w:val="0"/>
        </w:numPr>
        <w:rPr>
          <w:sz w:val="20"/>
          <w:szCs w:val="20"/>
        </w:rPr>
        <w:outlineLvl w:val="0"/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О проведении аукциона по продаже земельного участка, расположенного на территории города Костромы, государственная собственность на который не разграничена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709"/>
        <w:jc w:val="both"/>
        <w:rPr>
          <w:rFonts w:ascii="Liberation Serif" w:hAnsi="Liberation Serif"/>
          <w:b/>
          <w:i/>
          <w:sz w:val="20"/>
          <w:szCs w:val="20"/>
        </w:rPr>
      </w:pPr>
      <w:r>
        <w:rPr>
          <w:rFonts w:ascii="Liberation Serif" w:hAnsi="Liberation Serif"/>
          <w:b/>
          <w:i/>
          <w:sz w:val="20"/>
          <w:szCs w:val="20"/>
        </w:rPr>
        <w:t xml:space="preserve"> </w:t>
      </w:r>
      <w:r>
        <w:rPr>
          <w:rFonts w:ascii="Liberation Serif" w:hAnsi="Liberation Serif"/>
          <w:b/>
          <w:i/>
          <w:sz w:val="20"/>
          <w:szCs w:val="20"/>
        </w:rPr>
      </w:r>
      <w:r>
        <w:rPr>
          <w:rFonts w:ascii="Liberation Serif" w:hAnsi="Liberation Serif"/>
          <w:b/>
          <w:i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Управление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/>
          <w:b/>
          <w:bCs/>
          <w:sz w:val="20"/>
          <w:szCs w:val="20"/>
        </w:rPr>
        <w:t xml:space="preserve">4 июня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аукциона по продаже земельного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</w:rPr>
        <w:t xml:space="preserve">Участниками аукциона являются граждане.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Основание проведения аукциона – постановление Администрации города Костромы от </w:t>
      </w:r>
      <w:r>
        <w:rPr>
          <w:rFonts w:ascii="Times New Roman" w:hAnsi="Times New Roman"/>
          <w:sz w:val="20"/>
          <w:szCs w:val="20"/>
        </w:rPr>
        <w:t xml:space="preserve">22 декабря 2023 </w:t>
      </w:r>
      <w:r>
        <w:rPr>
          <w:rFonts w:ascii="Times New Roman" w:hAnsi="Times New Roman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 xml:space="preserve">2746 «</w:t>
      </w:r>
      <w:r>
        <w:rPr>
          <w:rFonts w:ascii="Times New Roman" w:hAnsi="Times New Roman"/>
          <w:color w:val="000000"/>
          <w:sz w:val="20"/>
          <w:szCs w:val="20"/>
        </w:rPr>
        <w:t xml:space="preserve">Об отказе в предоставлении в собственность и о проведении аукциона по продаже земельного участка, имеющего местоположение: Костромская область, город Кострома, улица Жарские луга, 6»</w:t>
      </w:r>
      <w:r>
        <w:rPr>
          <w:rFonts w:ascii="Times New Roman" w:hAnsi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Лот № 1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улица Жарские луга, 6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площадь: 728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44:27:020301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331;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для индивидуального жилищного строительства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</w:t>
      </w:r>
      <w:r>
        <w:rPr>
          <w:rFonts w:ascii="Times New Roman" w:hAnsi="Times New Roman"/>
          <w:sz w:val="20"/>
          <w:szCs w:val="20"/>
          <w:highlight w:val="white"/>
        </w:rPr>
        <w:t xml:space="preserve"> обременения и ограничения: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Генеральным планом города Костромы участок расположен в зоне катастрофического затопления, в зоне подтопления и территории с глубиной залегания грунтовых вод до 2-х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метров,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(зона с особыми условиями использования территории с реестровым номером 44:00-6.587), третьей, четвертой, пятой и шестой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подзонах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приаэродромной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территории аэродрома Кострома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Сокеркино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3)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  <w:t xml:space="preserve">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</w:t>
      </w:r>
      <w:r>
        <w:rPr>
          <w:rFonts w:ascii="Times New Roman" w:hAnsi="Times New Roman"/>
          <w:sz w:val="20"/>
          <w:szCs w:val="20"/>
        </w:rPr>
        <w:t xml:space="preserve">ства: </w:t>
      </w:r>
      <w:r>
        <w:rPr>
          <w:rFonts w:ascii="Times New Roman" w:hAnsi="Times New Roman"/>
          <w:sz w:val="20"/>
          <w:szCs w:val="20"/>
        </w:rPr>
        <w:t xml:space="preserve">максимальный процент застройки земельного участка – 25;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05.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исх.02.11/</w:t>
      </w:r>
      <w:r>
        <w:rPr>
          <w:rFonts w:ascii="Times New Roman" w:hAnsi="Times New Roman"/>
          <w:sz w:val="20"/>
          <w:szCs w:val="20"/>
          <w:highlight w:val="white"/>
        </w:rPr>
        <w:t xml:space="preserve">8732д, от 06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исх.02.11/8778д</w:t>
      </w:r>
      <w:r>
        <w:rPr>
          <w:rFonts w:ascii="Times New Roman" w:hAnsi="Times New Roman"/>
          <w:sz w:val="20"/>
          <w:szCs w:val="20"/>
          <w:highlight w:val="white"/>
        </w:rPr>
        <w:t xml:space="preserve">; газоснабжение от ООО «Газпром газораспределение Кострома» от </w:t>
      </w:r>
      <w:r>
        <w:rPr>
          <w:rFonts w:ascii="Times New Roman" w:hAnsi="Times New Roman"/>
          <w:sz w:val="20"/>
          <w:szCs w:val="20"/>
          <w:highlight w:val="white"/>
        </w:rPr>
        <w:t xml:space="preserve">28.</w:t>
      </w:r>
      <w:r>
        <w:rPr>
          <w:rFonts w:ascii="Times New Roman" w:hAnsi="Times New Roman"/>
          <w:sz w:val="20"/>
          <w:szCs w:val="20"/>
          <w:highlight w:val="white"/>
        </w:rPr>
        <w:t xml:space="preserve">01.2025 № ИС-15/</w:t>
      </w:r>
      <w:r>
        <w:rPr>
          <w:rFonts w:ascii="Times New Roman" w:hAnsi="Times New Roman"/>
          <w:sz w:val="20"/>
          <w:szCs w:val="20"/>
          <w:highlight w:val="white"/>
        </w:rPr>
        <w:t xml:space="preserve">357, </w:t>
      </w:r>
      <w:r>
        <w:rPr>
          <w:rFonts w:ascii="Times New Roman" w:hAnsi="Times New Roman"/>
          <w:sz w:val="20"/>
          <w:szCs w:val="20"/>
          <w:highlight w:val="white"/>
        </w:rPr>
        <w:t xml:space="preserve">теплоснабжение от </w:t>
      </w:r>
      <w:r>
        <w:rPr>
          <w:rFonts w:ascii="Times New Roman" w:hAnsi="Times New Roman"/>
          <w:sz w:val="20"/>
          <w:szCs w:val="20"/>
          <w:highlight w:val="white"/>
        </w:rPr>
        <w:t xml:space="preserve">ПАО «ТГК-2»</w:t>
      </w:r>
      <w:r>
        <w:rPr>
          <w:rFonts w:ascii="Times New Roman" w:hAnsi="Times New Roman"/>
          <w:sz w:val="20"/>
          <w:szCs w:val="20"/>
          <w:highlight w:val="white"/>
        </w:rPr>
        <w:t xml:space="preserve"> от </w:t>
      </w:r>
      <w:r>
        <w:rPr>
          <w:rFonts w:ascii="Times New Roman" w:hAnsi="Times New Roman"/>
          <w:sz w:val="20"/>
          <w:szCs w:val="20"/>
          <w:highlight w:val="white"/>
        </w:rPr>
        <w:t xml:space="preserve">11.</w:t>
      </w:r>
      <w:r>
        <w:rPr>
          <w:rFonts w:ascii="Times New Roman" w:hAnsi="Times New Roman"/>
          <w:sz w:val="20"/>
          <w:szCs w:val="20"/>
          <w:highlight w:val="white"/>
        </w:rPr>
        <w:t xml:space="preserve">12.2024 № </w:t>
      </w:r>
      <w:r>
        <w:rPr>
          <w:rFonts w:ascii="Times New Roman" w:hAnsi="Times New Roman"/>
          <w:sz w:val="20"/>
          <w:szCs w:val="20"/>
          <w:highlight w:val="white"/>
        </w:rPr>
        <w:t xml:space="preserve">4201/1718-2024</w:t>
      </w:r>
      <w:r>
        <w:rPr>
          <w:rFonts w:ascii="Times New Roman" w:hAnsi="Times New Roman"/>
          <w:sz w:val="20"/>
          <w:szCs w:val="20"/>
          <w:highlight w:val="white"/>
        </w:rPr>
        <w:t xml:space="preserve">, </w:t>
      </w:r>
      <w:r>
        <w:rPr>
          <w:rFonts w:ascii="Times New Roman" w:hAnsi="Times New Roman"/>
          <w:sz w:val="20"/>
          <w:szCs w:val="20"/>
          <w:highlight w:val="white"/>
        </w:rPr>
        <w:t xml:space="preserve">от МУП г.Костромы «Городские сети» от 19.12.2024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</w:t>
      </w:r>
      <w:r>
        <w:rPr>
          <w:rFonts w:ascii="Times New Roman" w:hAnsi="Times New Roman"/>
          <w:sz w:val="20"/>
          <w:szCs w:val="20"/>
          <w:highlight w:val="white"/>
        </w:rPr>
        <w:t xml:space="preserve">1/05796;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</w:t>
      </w:r>
      <w:r>
        <w:rPr>
          <w:rFonts w:ascii="Times New Roman" w:hAnsi="Times New Roman"/>
          <w:sz w:val="20"/>
          <w:szCs w:val="20"/>
          <w:highlight w:val="white"/>
        </w:rPr>
        <w:t xml:space="preserve">начальная цена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: 1 736 800</w:t>
      </w:r>
      <w:r>
        <w:rPr>
          <w:rFonts w:ascii="Times New Roman" w:hAnsi="Times New Roman"/>
          <w:sz w:val="20"/>
          <w:szCs w:val="20"/>
          <w:highlight w:val="white"/>
        </w:rPr>
        <w:t xml:space="preserve"> (Один миллион </w:t>
      </w:r>
      <w:r>
        <w:rPr>
          <w:rFonts w:ascii="Times New Roman" w:hAnsi="Times New Roman"/>
          <w:sz w:val="20"/>
          <w:szCs w:val="20"/>
          <w:highlight w:val="white"/>
        </w:rPr>
        <w:t xml:space="preserve">семьсот тридцать шесть тысяч восемьсот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52 100</w:t>
      </w:r>
      <w:r>
        <w:rPr>
          <w:rFonts w:ascii="Times New Roman" w:hAnsi="Times New Roman"/>
          <w:sz w:val="20"/>
          <w:szCs w:val="20"/>
          <w:highlight w:val="white"/>
        </w:rPr>
        <w:t xml:space="preserve"> (Пятьдесят две </w:t>
      </w:r>
      <w:r>
        <w:rPr>
          <w:rFonts w:ascii="Times New Roman" w:hAnsi="Times New Roman"/>
          <w:sz w:val="20"/>
          <w:szCs w:val="20"/>
          <w:highlight w:val="white"/>
        </w:rPr>
        <w:t xml:space="preserve">тысячи сто)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434 200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(Четыреста тридцать четыре тысячи двести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>
        <w:rPr>
          <w:rFonts w:ascii="Times New Roman" w:hAnsi="Times New Roman"/>
          <w:sz w:val="20"/>
          <w:szCs w:val="20"/>
          <w:highlight w:val="white"/>
        </w:rPr>
        <w:t xml:space="preserve"> рубл</w:t>
      </w:r>
      <w:r>
        <w:rPr>
          <w:rFonts w:ascii="Times New Roman" w:hAnsi="Times New Roman"/>
          <w:sz w:val="20"/>
          <w:szCs w:val="20"/>
          <w:highlight w:val="white"/>
        </w:rPr>
        <w:t xml:space="preserve">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4. Организатор аукцио</w:t>
      </w:r>
      <w:r>
        <w:rPr>
          <w:rFonts w:ascii="Times New Roman" w:hAnsi="Times New Roman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</w:t>
      </w:r>
      <w:r>
        <w:rPr>
          <w:rFonts w:ascii="Times New Roman" w:hAnsi="Times New Roman"/>
          <w:sz w:val="20"/>
          <w:szCs w:val="20"/>
          <w:highlight w:val="white"/>
        </w:rPr>
        <w:t xml:space="preserve">е – организатор).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5. Дата размещения извещения о предоставлении земельного участка для индивидуального жилищного строительства - 14.12.2023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none"/>
        </w:rPr>
        <w:t xml:space="preserve">6</w:t>
      </w:r>
      <w:r>
        <w:rPr>
          <w:rFonts w:ascii="Times New Roman" w:hAnsi="Times New Roman"/>
          <w:sz w:val="20"/>
          <w:szCs w:val="20"/>
          <w:highlight w:val="white"/>
        </w:rPr>
        <w:t xml:space="preserve">. </w:t>
      </w: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59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5 мая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9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30 мая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3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7.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59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59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59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5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59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59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59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5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59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www.rts-tender.ru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8.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sz w:val="20"/>
          <w:szCs w:val="20"/>
          <w:highlight w:val="none"/>
          <w:shd w:val="clear" w:color="auto" w:fill="ffffff"/>
        </w:rPr>
        <w:t xml:space="preserve">3 июня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купли-продажи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Кодексом порядке договора купли-продажи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купли-продажи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1" w:tooltip="https://www.rts-tender.ru/" w:history="1">
        <w:r>
          <w:rPr>
            <w:rStyle w:val="759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</w:t>
      </w:r>
      <w:r>
        <w:rPr>
          <w:rFonts w:ascii="Times New Roman" w:hAnsi="Times New Roman"/>
          <w:b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3 июня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2" w:tooltip="http://www.rts-tender.ru/" w:history="1">
        <w:r>
          <w:rPr>
            <w:rStyle w:val="759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59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3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12.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4 июня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3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13. Победителем признается участник,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14.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купли - продажи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купли - продажи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купли - продажи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 w:cs="Times New Roman"/>
          <w:color w:val="00000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купли – продажи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14:ligatures w14:val="none"/>
        </w:rPr>
      </w:r>
      <w:r>
        <w:rPr>
          <w:rFonts w:ascii="Times New Roman" w:hAnsi="Times New Roman" w:cs="Times New Roman"/>
          <w:color w:val="00000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купли - продажи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купли - 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left="0" w:right="0"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купли – продажи </w:t>
      </w:r>
      <w:r>
        <w:rPr>
          <w:rFonts w:ascii="Times New Roman" w:hAnsi="Times New Roman"/>
          <w:sz w:val="20"/>
          <w:szCs w:val="20"/>
          <w:lang w:eastAsia="en-US"/>
        </w:rPr>
        <w:t xml:space="preserve">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купли - продажи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купли - продажи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15.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16.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Земельный участок в со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ответствии с Правилами землепользования и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застройки города Костромы, утвержденными постановлением Администрации города Костромы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 28 июня 2021 года № 1130 (с изм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енениями, внесенными постановлением Администрации города Костромы от 4 июля 2024 года №1101),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отнесен к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зоне застройки малоэтажными жилыми домами (до 4 этажей, включая мансардный) Ж-2: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center"/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</w:rPr>
        <w:t xml:space="preserve">1.2. Градостроительный регламент зоны застройки малоэтажными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</w:rPr>
        <w:t xml:space="preserve">жилыми домами (до 4 этажей, включая мансардный) Ж-2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1.2.1. Зона застройки малоэтажными жилыми домами (до 4 этажей, включая мансардный) Ж-2, включая подзоны Ж-2.1, Ж-2.2 (далее - зона Ж-2), выделяется в целях формирования жилых районов для размещения домов блокированной застройки с участками, многоквартирных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 домов с количеством этажей не более чем четыре, а также минимально необходимого перечня отдельно стоящих, встроенных и (или) пристроенных объектов социального и коммунально-бытового назначения, обеспечивающих жизнедеятельность населения. Разрешено размеще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ние объектов обслуживания низового уровня и ограниченно других видов деятельности.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В пределах зоны Ж-2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1.2.3. Для земельных участков и объектов капитального строительства, расположенных в пределах зоны Ж-2 (подзоны Ж-2.1, Ж-2.2), устанавливаются следующие основные виды разрешенного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935"/>
        <w:gridCol w:w="99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Малоэтажная многоквартирная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Малоэтажный многоквартирный дом (многоквартирные дома высотой до 4 этажей, включая мансардный)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на одну квартиру (без площади застройки) - 0,006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до 400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- 400-500 мест - 60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- 500-600 мест - 50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- 600-800 мест - 40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- 800-1100 мест - 33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- 1100-1500 мест - 21 кв. м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вместимость - 1500 мест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Магазины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максимальная торговая площадь объекта - 300 кв. 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4.4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Бытовое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Спорт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 капитального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площадок для занятия спортом - 60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питание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Культурное развитие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3.6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Общественное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3.8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Деловое управление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4.5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3.4.1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Коммунальное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vMerge w:val="restart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- 11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Социальное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Улично-дорожная сеть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3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12.0.1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1.2.4. Для земельных участков и объектов капитального строительства, расположенных в пределах зоны Ж-2 (подзон Ж-2.1, Ж-2.2), устанавливаются следующие условно разрешенные виды использования и соответствующие каждому виду предельные параметры: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176"/>
        <w:gridCol w:w="3969"/>
        <w:gridCol w:w="99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разрешенного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Предельные параметры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Блокированная жилая застройка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(для каждого блока)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(для каждого блока)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границы земельного участка со стороны общей стены между блоками (блок-секциями)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иные показатели: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максимальное количество совмещенных домов - 10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 с их проживанием в таком здании, не предназначенное для раздела на самостоятельные объекты недвижимости)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размер земельного участка - 0,15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- 10,5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Гостиничное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Ж-2.2 - 4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Религиозное использование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для иных зданий и сооружений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3.7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Хранение автотранспорта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Ж-2 - 40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3.10.1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Служебные гаражи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Объекты дорожного сервиса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Ж-2, Ж-2.2 - 3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Ж-2.1 - 3 надземных этажа, один из которых мансардный;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Ж-2 - 50 процентов;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Ж-2.1, Ж-2.2 - 30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- 2 этажа;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предельная высота зданий до конька кровли: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Ж-2.1 - 12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- Ж-2.2 - 15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2.7.2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Стоянка транспортных средств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7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Классификатором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ind w:firstLine="709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4.9.2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 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1.2.5. Для земельных участков и объектов капитального строительства, расположенных в пределах зоны Ж-2 (подзон Ж-2.1, Ж-2.2), устанавливаются следующие вспомогательные виды использования: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tbl>
      <w:tblPr>
        <w:tblStyle w:val="93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7860"/>
        <w:gridCol w:w="85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 п/п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Вид использования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tabs>
                <w:tab w:val="left" w:pos="283" w:leader="none"/>
              </w:tabs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Код вида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индивидуального жилищного строительства: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выращивание сельскохозяйственных культур; размещение гаражей для собственных нужд и хозяйственных построек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блокированной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2.3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94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6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для малоэтажной многоквартирной жилой застройки: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обустройство спортивных и детских площадок, площадок отдыха;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</w:t>
            </w: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й площади помещений дома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firstLine="0"/>
              <w:jc w:val="both"/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position w:val="0"/>
                <w:sz w:val="20"/>
                <w:szCs w:val="20"/>
                <w:highlight w:val="none"/>
              </w:rPr>
              <w:t xml:space="preserve">2.1.1</w:t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position w:val="0"/>
                <w:sz w:val="22"/>
                <w:szCs w:val="22"/>
                <w:highlight w:val="none"/>
                <w14:ligatures w14:val="none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1.2.6. Иные параметры, применяемые к объектам и территориям, расположенным в подзонах зоны Ж-2: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Ж-2.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жилых зданий - от 0 до 6 м (по линии застройки);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максимальный процент застройки земельного участка - 10 процентов от общей площади участка;</w:t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2"/>
          <w:szCs w:val="22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- максимальная высота - не устанавливается.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br w:type="page" w:clear="all"/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31"/>
        <w:ind w:firstLine="70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firstLine="851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center"/>
      </w:pPr>
      <w:r>
        <w:rPr>
          <w:b/>
          <w:lang w:eastAsia="zh-CN"/>
        </w:rPr>
        <w:t xml:space="preserve">ЗАЯВКА </w:t>
      </w:r>
      <w:r>
        <w:rPr>
          <w:b/>
          <w:sz w:val="22"/>
          <w:szCs w:val="22"/>
          <w:lang w:eastAsia="zh-CN"/>
        </w:rPr>
        <w:t xml:space="preserve">НА УЧАСТИЕ В АУКЦИОНЕ В ЭЛЕКТРОННОЙ ФОРМЕ</w:t>
      </w:r>
      <w:r>
        <w:rPr>
          <w:b/>
          <w:sz w:val="22"/>
          <w:szCs w:val="22"/>
          <w:lang w:eastAsia="zh-CN"/>
        </w:rPr>
      </w:r>
      <w:r/>
    </w:p>
    <w:p>
      <w:r>
        <w:rPr>
          <w:b/>
          <w:sz w:val="2"/>
          <w:szCs w:val="10"/>
          <w:lang w:eastAsia="zh-CN"/>
        </w:rPr>
      </w:r>
      <w:r>
        <w:rPr>
          <w:b/>
          <w:sz w:val="2"/>
          <w:szCs w:val="10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b/>
          <w:sz w:val="19"/>
          <w:szCs w:val="19"/>
          <w:lang w:eastAsia="zh-CN"/>
        </w:rPr>
      </w:r>
      <w:r/>
    </w:p>
    <w:p>
      <w:r>
        <w:rPr>
          <w:b/>
          <w:sz w:val="19"/>
          <w:szCs w:val="19"/>
          <w:lang w:eastAsia="zh-CN"/>
        </w:rPr>
        <w:t xml:space="preserve">Заявитель</w:t>
      </w:r>
      <w:r>
        <w:rPr>
          <w:sz w:val="19"/>
          <w:szCs w:val="19"/>
          <w:lang w:eastAsia="zh-CN"/>
        </w:rPr>
        <w:t xml:space="preserve"> </w:t>
      </w:r>
      <w:r>
        <w:rPr>
          <w:sz w:val="19"/>
          <w:szCs w:val="19"/>
          <w:lang w:eastAsia="zh-CN"/>
        </w:rPr>
      </w:r>
      <w:r/>
    </w:p>
    <w:p>
      <w:pPr>
        <w:pBdr>
          <w:bottom w:val="single" w:color="000000" w:sz="4" w:space="0"/>
        </w:pBdr>
      </w:pPr>
      <w:r>
        <w:rPr>
          <w:sz w:val="19"/>
          <w:szCs w:val="19"/>
          <w:lang w:eastAsia="zh-CN"/>
        </w:rPr>
      </w:r>
      <w:r>
        <w:rPr>
          <w:sz w:val="19"/>
          <w:szCs w:val="19"/>
          <w:lang w:eastAsia="zh-CN"/>
        </w:rPr>
      </w:r>
      <w:r/>
    </w:p>
    <w:p>
      <w:pPr>
        <w:jc w:val="center"/>
      </w:pPr>
      <w:r>
        <w:rPr>
          <w:sz w:val="18"/>
          <w:szCs w:val="18"/>
          <w:lang w:eastAsia="zh-CN"/>
        </w:rPr>
        <w:t xml:space="preserve">           </w:t>
      </w:r>
      <w:r>
        <w:rPr>
          <w:sz w:val="16"/>
          <w:szCs w:val="18"/>
          <w:lang w:eastAsia="zh-CN"/>
        </w:rPr>
        <w:t xml:space="preserve">(</w:t>
      </w:r>
      <w:r>
        <w:rPr>
          <w:bCs/>
          <w:sz w:val="16"/>
          <w:szCs w:val="18"/>
          <w:lang w:eastAsia="zh-CN"/>
        </w:rPr>
        <w:t xml:space="preserve">Ф.И.О. гражданина</w:t>
      </w:r>
      <w:r>
        <w:rPr>
          <w:sz w:val="16"/>
          <w:szCs w:val="18"/>
          <w:lang w:eastAsia="zh-CN"/>
        </w:rPr>
        <w:t xml:space="preserve">)</w:t>
      </w:r>
      <w:r>
        <w:rPr>
          <w:sz w:val="18"/>
          <w:szCs w:val="18"/>
          <w:lang w:eastAsia="zh-CN"/>
        </w:rPr>
      </w:r>
      <w:r/>
    </w:p>
    <w:tbl>
      <w:tblPr>
        <w:tblW w:w="10496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410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Заявителя: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№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                               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та выдачи</w:t>
            </w:r>
            <w:r>
              <w:rPr>
                <w:sz w:val="18"/>
                <w:szCs w:val="18"/>
                <w:lang w:eastAsia="zh-CN"/>
              </w:rPr>
              <w:t xml:space="preserve">_______________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выдан:_________________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ИНН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КПП                                  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ОГРН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            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Bdr>
                <w:bottom w:val="single" w:color="000000" w:sz="4" w:space="0"/>
              </w:pBdr>
            </w:pPr>
            <w:r>
              <w:rPr>
                <w:b/>
                <w:sz w:val="18"/>
                <w:szCs w:val="18"/>
                <w:lang w:eastAsia="zh-CN"/>
              </w:rPr>
              <w:t xml:space="preserve">Представитель Заявителя</w:t>
            </w:r>
            <w:r>
              <w:rPr>
                <w:b/>
                <w:sz w:val="18"/>
                <w:szCs w:val="18"/>
                <w:vertAlign w:val="superscript"/>
                <w:lang w:eastAsia="zh-CN"/>
              </w:rPr>
              <w:footnoteReference w:id="2"/>
            </w:r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</w:r>
            <w:r/>
          </w:p>
          <w:p>
            <w:pPr>
              <w:jc w:val="center"/>
            </w:pPr>
            <w:r>
              <w:rPr>
                <w:b/>
                <w:sz w:val="16"/>
                <w:szCs w:val="18"/>
                <w:lang w:eastAsia="zh-CN"/>
              </w:rPr>
              <w:t xml:space="preserve">(Ф.И.О,)</w:t>
            </w:r>
            <w:r>
              <w:rPr>
                <w:b/>
                <w:sz w:val="16"/>
                <w:szCs w:val="18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дата выдачи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кем выдан: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RepresentativePassportIssuer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Адрес:  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</w:r>
            <w:r/>
          </w:p>
          <w:p>
            <w:pPr>
              <w:jc w:val="both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begin"/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instrText xml:space="preserve">RepresentativePhoneNumber</w:instrText>
            </w:r>
            <w:r>
              <w:rPr>
                <w:sz w:val="18"/>
                <w:szCs w:val="18"/>
                <w:u w:val="single"/>
                <w:lang w:eastAsia="zh-CN"/>
              </w:rPr>
              <w:instrText xml:space="preserve"> </w:instrTex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separate"/>
            </w:r>
            <w:r>
              <w:rPr>
                <w:b/>
                <w:bCs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val="en-US" w:eastAsia="zh-CN"/>
              </w:rPr>
              <w:fldChar w:fldCharType="end"/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  <w:r>
              <w:rPr>
                <w:rFonts w:eastAsia="Calibri"/>
                <w:b/>
                <w:bCs/>
                <w:sz w:val="18"/>
                <w:szCs w:val="18"/>
                <w:lang w:eastAsia="zh-CN"/>
              </w:rPr>
            </w:r>
          </w:p>
        </w:tc>
      </w:tr>
    </w:tbl>
    <w:p>
      <w:pPr>
        <w:ind w:hanging="1"/>
        <w:jc w:val="both"/>
        <w:widowControl w:val="off"/>
      </w:pPr>
      <w:r>
        <w:rPr>
          <w:sz w:val="18"/>
          <w:szCs w:val="18"/>
          <w:lang w:eastAsia="zh-CN"/>
        </w:rPr>
        <w:tab/>
      </w:r>
      <w:r>
        <w:rPr>
          <w:b/>
          <w:sz w:val="18"/>
          <w:szCs w:val="18"/>
          <w:lang w:eastAsia="zh-CN"/>
        </w:rPr>
        <w:t xml:space="preserve">принял решение об участии в аукционе по продаже земельного участка </w:t>
      </w:r>
      <w:r>
        <w:rPr>
          <w:b/>
          <w:sz w:val="18"/>
          <w:szCs w:val="18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18"/>
          <w:szCs w:val="18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18"/>
          <w:szCs w:val="18"/>
          <w:lang w:eastAsia="zh-CN"/>
        </w:rPr>
        <w:t xml:space="preserve">руб.</w:t>
      </w:r>
      <w:r>
        <w:rPr>
          <w:sz w:val="18"/>
          <w:szCs w:val="18"/>
          <w:u w:val="single"/>
          <w:lang w:eastAsia="zh-CN"/>
        </w:rPr>
        <w:t xml:space="preserve">            (сумма прописью)</w:t>
      </w:r>
      <w:r>
        <w:rPr>
          <w:sz w:val="18"/>
          <w:szCs w:val="18"/>
          <w:lang w:eastAsia="zh-CN"/>
        </w:rPr>
        <w:t xml:space="preserve">, </w:t>
      </w:r>
      <w:r>
        <w:rPr>
          <w:b/>
          <w:sz w:val="18"/>
          <w:szCs w:val="18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bCs/>
          <w:lang w:eastAsia="zh-CN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</w:rPr>
        <w:t xml:space="preserve">Банковские реквизиты для возврата задатка:</w:t>
      </w:r>
      <w:r>
        <w:rPr>
          <w:b/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Банк ______________________________________________________________________________________________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Расчётный счёт _______________________________ Корреспондентский счёт 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БИК_________________________________________ Лицевой счёт 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sz w:val="18"/>
          <w:szCs w:val="18"/>
        </w:rPr>
        <w:t xml:space="preserve">Ф. И. О. (наименование) получателя ___________________________________________________________________</w:t>
      </w:r>
      <w:r>
        <w:rPr>
          <w:sz w:val="18"/>
          <w:szCs w:val="18"/>
        </w:rPr>
      </w:r>
      <w:r/>
    </w:p>
    <w:p>
      <w:pPr>
        <w:ind w:firstLine="142"/>
        <w:jc w:val="both"/>
        <w:widowControl w:val="off"/>
      </w:pP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обязуется:</w:t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sz w:val="18"/>
          <w:szCs w:val="18"/>
          <w:vertAlign w:val="superscript"/>
          <w:lang w:eastAsia="zh-CN"/>
        </w:rPr>
        <w:footnoteReference w:id="3"/>
      </w:r>
      <w:r>
        <w:rPr>
          <w:sz w:val="18"/>
          <w:szCs w:val="18"/>
          <w:lang w:eastAsia="zh-CN"/>
        </w:rPr>
      </w:r>
      <w:r/>
    </w:p>
    <w:p>
      <w:pPr>
        <w:numPr>
          <w:ilvl w:val="1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18"/>
          <w:szCs w:val="18"/>
          <w:lang w:eastAsia="zh-CN"/>
        </w:rPr>
        <w:t xml:space="preserve">тренных пунктами 13 и 14 статьи 39.12 Земельного кодекса Российской Федерации, заключить договор с Продавцом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18"/>
          <w:szCs w:val="18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  <w:lang w:eastAsia="zh-CN"/>
        </w:rPr>
        <w:t xml:space="preserve">и не имеет претензий к ним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</w:pPr>
      <w:r>
        <w:rPr>
          <w:sz w:val="18"/>
          <w:szCs w:val="18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18"/>
          <w:szCs w:val="18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sz w:val="17"/>
          <w:szCs w:val="17"/>
          <w:vertAlign w:val="superscript"/>
          <w:lang w:eastAsia="zh-CN"/>
        </w:rPr>
        <w:footnoteReference w:id="4"/>
      </w:r>
      <w:r>
        <w:rPr>
          <w:sz w:val="17"/>
          <w:szCs w:val="17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numPr>
          <w:ilvl w:val="0"/>
          <w:numId w:val="8"/>
        </w:numPr>
        <w:ind w:left="142" w:hanging="142"/>
        <w:jc w:val="both"/>
        <w:tabs>
          <w:tab w:val="num" w:pos="142" w:leader="none"/>
        </w:tabs>
      </w:pPr>
      <w:r>
        <w:rPr>
          <w:sz w:val="18"/>
          <w:szCs w:val="18"/>
          <w:lang w:eastAsia="zh-CN"/>
        </w:rPr>
        <w:t xml:space="preserve">Заявитель осведомлен и согласен с тем, что Продавец/Организатор аукциона в электронной форме не несут ответственности за ущерб, который может быть причинен Заявителю отменой аукциона в эле</w:t>
      </w:r>
      <w:r>
        <w:rPr>
          <w:sz w:val="18"/>
          <w:szCs w:val="18"/>
          <w:lang w:eastAsia="zh-CN"/>
        </w:rPr>
        <w:t xml:space="preserve">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</w:t>
      </w:r>
      <w:r>
        <w:rPr>
          <w:sz w:val="18"/>
          <w:szCs w:val="18"/>
          <w:lang w:eastAsia="zh-CN"/>
        </w:rPr>
        <w:t xml:space="preserve">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</w:t>
      </w:r>
      <w:r>
        <w:rPr>
          <w:sz w:val="18"/>
          <w:szCs w:val="18"/>
          <w:lang w:eastAsia="zh-CN"/>
        </w:rPr>
        <w:t xml:space="preserve"> </w:t>
      </w:r>
      <w:r>
        <w:rPr>
          <w:sz w:val="18"/>
          <w:szCs w:val="18"/>
          <w:lang w:eastAsia="zh-CN"/>
        </w:rPr>
        <w:t xml:space="preserve"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18"/>
          <w:szCs w:val="18"/>
          <w:lang w:eastAsia="zh-CN"/>
        </w:rPr>
        <w:t xml:space="preserve">ruи сайте Оператора электронной площадки</w:t>
      </w:r>
      <w:r>
        <w:rPr>
          <w:sz w:val="18"/>
          <w:szCs w:val="18"/>
          <w:lang w:eastAsia="zh-CN"/>
        </w:rPr>
        <w:t xml:space="preserve">.</w:t>
      </w:r>
      <w:r>
        <w:rPr>
          <w:sz w:val="18"/>
          <w:szCs w:val="18"/>
          <w:lang w:eastAsia="zh-CN"/>
        </w:rPr>
      </w:r>
      <w:r/>
    </w:p>
    <w:p>
      <w:pPr>
        <w:ind w:left="142" w:hanging="142"/>
        <w:jc w:val="both"/>
      </w:pPr>
      <w:r>
        <w:rPr>
          <w:sz w:val="18"/>
          <w:szCs w:val="18"/>
          <w:lang w:eastAsia="zh-CN"/>
        </w:rPr>
        <w:t xml:space="preserve">8.В соответствии с Ф</w:t>
      </w:r>
      <w:r>
        <w:rPr>
          <w:sz w:val="18"/>
          <w:szCs w:val="18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18"/>
          <w:szCs w:val="18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18"/>
          <w:szCs w:val="18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18"/>
          <w:szCs w:val="18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18"/>
          <w:szCs w:val="18"/>
          <w:lang w:eastAsia="zh-CN"/>
        </w:rPr>
      </w:r>
      <w:r/>
    </w:p>
    <w:p>
      <w:pPr>
        <w:spacing w:after="160" w:line="259" w:lineRule="auto"/>
      </w:pPr>
      <w:r>
        <w:rPr>
          <w:szCs w:val="28"/>
          <w:lang w:eastAsia="zh-CN"/>
        </w:rPr>
      </w:r>
      <w:r>
        <w:rPr>
          <w:szCs w:val="28"/>
          <w:lang w:eastAsia="zh-CN"/>
        </w:rPr>
      </w:r>
      <w:r/>
    </w:p>
    <w:p>
      <w:pPr>
        <w:spacing w:after="160" w:line="259" w:lineRule="auto"/>
        <w:rPr>
          <w:b/>
          <w:sz w:val="18"/>
          <w:szCs w:val="18"/>
          <w:lang w:eastAsia="zh-CN"/>
        </w:rPr>
      </w:pPr>
      <w:r>
        <w:rPr>
          <w:szCs w:val="28"/>
          <w:lang w:eastAsia="zh-CN"/>
        </w:rPr>
        <w:t xml:space="preserve">Подписано усиленной квалифицированной электронной подписью</w:t>
      </w:r>
      <w:r>
        <w:rPr>
          <w:b/>
          <w:sz w:val="18"/>
          <w:szCs w:val="18"/>
          <w:lang w:eastAsia="zh-CN"/>
        </w:rPr>
      </w:r>
      <w:r>
        <w:rPr>
          <w:b/>
          <w:sz w:val="18"/>
          <w:szCs w:val="18"/>
          <w:lang w:eastAsia="zh-CN"/>
        </w:rPr>
      </w:r>
    </w:p>
    <w:tbl>
      <w:tblPr>
        <w:tblStyle w:val="931"/>
        <w:tblW w:w="5000" w:type="pct"/>
        <w:tblBorders>
          <w:insideH w:val="none" w:color="000000" w:sz="0" w:space="0"/>
          <w:insideV w:val="none" w:color="000000" w:sz="0" w:space="0"/>
        </w:tblBorders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345"/>
      </w:tblGrid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spacing w:before="120"/>
              <w:rPr>
                <w:bCs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электронной подписи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Владелец: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Организация: </w:t>
            </w:r>
            <w:r>
              <w:rPr>
                <w:sz w:val="16"/>
                <w:szCs w:val="16"/>
                <w:lang w:eastAsia="zh-CN"/>
              </w:rPr>
              <w:fldChar w:fldCharType="begin"/>
            </w:r>
            <w:r>
              <w:rPr>
                <w:sz w:val="16"/>
                <w:szCs w:val="16"/>
                <w:lang w:eastAsia="zh-CN"/>
              </w:rPr>
              <w:instrText xml:space="preserve"> Документ</w:instrText>
            </w:r>
            <w:r>
              <w:rPr>
                <w:sz w:val="16"/>
                <w:szCs w:val="16"/>
                <w:lang w:eastAsia="zh-CN"/>
              </w:rPr>
              <w:instrText xml:space="preserve">_</w:instrText>
            </w:r>
            <w:r>
              <w:rPr>
                <w:sz w:val="16"/>
                <w:szCs w:val="16"/>
                <w:lang w:eastAsia="zh-CN"/>
              </w:rPr>
              <w:instrText xml:space="preserve">ЭлПодпись_Организация_Участник </w:instrText>
            </w:r>
            <w:r>
              <w:rPr>
                <w:sz w:val="16"/>
                <w:szCs w:val="16"/>
                <w:lang w:eastAsia="zh-CN"/>
              </w:rPr>
              <w:fldChar w:fldCharType="separate"/>
            </w:r>
            <w:r>
              <w:rPr>
                <w:b/>
                <w:bCs/>
                <w:sz w:val="16"/>
                <w:szCs w:val="16"/>
                <w:lang w:eastAsia="zh-CN"/>
              </w:rPr>
              <w:t xml:space="preserve">.</w:t>
            </w:r>
            <w:r>
              <w:rPr>
                <w:sz w:val="16"/>
                <w:szCs w:val="16"/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Подписано: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bCs/>
                <w:lang w:eastAsia="zh-CN"/>
              </w:rPr>
            </w:pPr>
            <w:r>
              <w:rPr>
                <w:b/>
                <w:sz w:val="16"/>
                <w:szCs w:val="16"/>
                <w:lang w:eastAsia="zh-CN"/>
              </w:rPr>
              <w:t xml:space="preserve">Данные сертификата</w:t>
            </w:r>
            <w:r>
              <w:rPr>
                <w:bCs/>
                <w:lang w:eastAsia="zh-CN"/>
              </w:rPr>
            </w:r>
            <w:r>
              <w:rPr>
                <w:bCs/>
                <w:lang w:eastAsia="zh-CN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Серийный номер: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 xml:space="preserve">Срок действия: </w:t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0" w:type="pct"/>
            <w:textDirection w:val="lrTb"/>
            <w:noWrap w:val="false"/>
          </w:tcPr>
          <w:p>
            <w:pPr>
              <w:rPr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</w:r>
            <w:r>
              <w:rPr>
                <w:lang w:eastAsia="zh-CN"/>
              </w:rPr>
            </w:r>
            <w:r>
              <w:rPr>
                <w:lang w:eastAsia="zh-CN"/>
              </w:rPr>
            </w:r>
          </w:p>
        </w:tc>
      </w:tr>
    </w:tbl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rPr>
          <w:sz w:val="20"/>
          <w:szCs w:val="20"/>
        </w:rPr>
      </w:pPr>
      <w:r>
        <w:rPr>
          <w:sz w:val="20"/>
          <w:szCs w:val="20"/>
        </w:rPr>
      </w:r>
      <w: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31"/>
        <w:ind w:left="7655" w:firstLine="0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ДОГОВОР № 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купли-продажи земельного участка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город Кострома                                                                               ______________ года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имущественных и земельных отношений Администрации города Костромы, в лице ______________________________, действующего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 основании ________________________, именуемый в дальнейшем «Продавец», с одной стороны, и __________________________________________, в лице ________________________________________, действующего на основании _____________________, именуемый в дальнейш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ем «Покупатель», с другой стороны, совместно именуемые «Стороны», на основании протокола о результатах аукциона по продаже земельного участка ____________, руководствуясь Земельным кодексом Российской Федерации, заключили настоящий договор о нижеследующем.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1. Предмет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1.1. Продавец обязуется передать в собственность Покупателя земельный участок площадью _______ м</w:t>
      </w:r>
      <w:r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 кадастровым номером: ______________________, категория земель: земли населенных пунктов, разрешенное использование: __________________________, по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адресу:_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__________________________________, а Покупатель обязуется принять земельный участок и уплатить за него определенную настоящим договором цену.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1.2. План земельного участка указан в кадастровом паспорте _____________________________, выданном филиалом ФГБУ «ФКП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Росреестра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»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1.3. Земельный участок обременен _________________________________. 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2. Цена договора и порядок оплаты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2.1. Цена продажи земельного участка составляет ______________________ рублей.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2.2. Покупатель единовременно в течение 10 (десяти) рабочих дней после заключения настоящего договора перечисляет сумму, указанную в пункте 2.1  настоящего договора, безналичным денежным расчетом в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1006568, КПП 4401010001,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96611406012040000430, ОКТМО 34701000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назначение платежа: за земельный участок по договору купли-продажи от ___________  № ____.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Перечисленный Продавцу задаток за участие в аукционе по продаже земельного участка в сумме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_________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рублей зачисляется в счет платежа по настоящему договору за земельный участок.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2.3. Факт перечисления денежных средств, указанн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ых в пункте 2.2 настоящего договора, подтверждается выпиской Управления федерального казначейства по Костромской области с лицевого счета Продавца о поступлении денежных средств в бюджет города Костромы и выпиской из лицевого счета Продавца соответственно.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2.4. Обяз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ательство Покупателя по оплате земельного участка считается исполненным надлежащим образом в случае, если денежные средства, указанные в пункте 2.2 настоящего договора, поступили в размере, в срок и на реквизиты, указанные в пункте 2.2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3. Права и обязанности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3.1. Продавец обязан передать земельный участок Покупателю не позднее чем через 5 (пять) дней после дня его полной оплаты. Передача земель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ного участка Продавцом и принятие его Покупателем оформляется подписываемым Сторонами актом приема-передачи. Обязательство Продавца по передаче земельного участка считается исполненным надлежащим образом с момента подписания Сторонами акта приема-передачи.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 Покупатель обязан: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3.2.1. оплатить стоимость земельного участка в размере, сроки и в порядке, установленные настоящим договором;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3.2.2. содержать земельный участок в надлежащем санитарном и техническом состоянии в соответствии с действующим законодательством.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4. Ответственность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4.1. Стороны несут ответственность за ненадлежащее выполнение условий настоящего договора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4.2. За нарушение срока перечисления денежных средств, указанных в пункте 2.2 настоящего договора,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и/или неполное их перечисление, Покупатель уплачивает Продавцу неустойку в виде пени за каждый день просрочки в размере 1/150 ставки рефинансирования Центрального Банка Российской Федерации, действующей на дату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выполнения денежного обязательства.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Пени начи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сляются со дня образования задолженности и перечисляются на следующие реквизиты: </w:t>
      </w:r>
      <w:r>
        <w:rPr>
          <w:rFonts w:ascii="Times New Roman" w:hAnsi="Times New Roman" w:cs="Times New Roman"/>
          <w:sz w:val="20"/>
          <w:szCs w:val="20"/>
        </w:rPr>
        <w:t xml:space="preserve">получатель УФК по Костромской области (Управление имущественных и земельных отношений Администрации города Костромы), ИНН 4401006568, КПП 440101001, единый казначейский счет 4</w:t>
      </w:r>
      <w:r>
        <w:rPr>
          <w:rFonts w:ascii="Times New Roman" w:hAnsi="Times New Roman" w:cs="Times New Roman"/>
          <w:sz w:val="20"/>
          <w:szCs w:val="20"/>
        </w:rPr>
        <w:t xml:space="preserve">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yellow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4.3. Уплата неустойки не освобождает Покупателя 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т исполнения обязательств по настоящему договору.</w:t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5. Возникновение права собственности и действие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Настоящий договор признается заключенным с момента его подписания Сторонами.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5.2. Отношения между Сторонами по настоящему договору прекращаются при исполнении ими всех его условий.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5.3. Право собственности на земельный участок возникает у Покупателя с момента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6. Расторжение договора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6.1. Настоящий договор может быть расторгнут по основаниям, установленным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6.2. В случае расторжения настоящего договора в связи с нарушением Покупателем его условий он уплачивает Продавцу штраф в размере 50 (пятидесяти) процентов от цены продажи земельного участка, указанной в пункте 2.1 настоящего договора.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6.3. Расторжение настоящего договора не освобождает Покупателя от выплаты неустойки, установленной в пункте 4.2 настоящего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7. Заключительные положения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7.1. До заключения настоящего договора Покупатель ознакомился с состоянием земельного участка.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7.2. Сроки, указанные в настоящем договоре, исчисляются днями. Течение срока начинается на следующий день после наступления события, которым определено его начало.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7.3. Споры, возникающие при исполнении настоящего договора, разрешаются Сторонами в порядке, установленном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7.4. Отношения Сторон, не урегулированные настоящим договором, регулируются законодательством Российской Федерации.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7.5. Изменения и дополнения к настоящему договору считаются действительными, если совершены в письменной форме и подписаны Сторонами или их уполномоченными представителями.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540"/>
        <w:jc w:val="both"/>
        <w:spacing w:before="0" w:after="0" w:line="288" w:lineRule="atLeast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7.6. </w:t>
      </w:r>
      <w:r>
        <w:rPr>
          <w:rFonts w:ascii="Times New Roman" w:hAnsi="Times New Roman" w:cs="Times New Roman"/>
          <w:sz w:val="20"/>
          <w:szCs w:val="20"/>
        </w:rPr>
        <w:t xml:space="preserve">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8. Юридические адреса и реквизиты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Продавец: Управление имущественных и земельных отношений Администрации города Костромы, место нахождения и почтовый адрес: 156005, город Кострома, площадь Конституции, дом 2.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Покупатель: _______________________________________________________________________________ 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9. Подписи Сторон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Продавец: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Покупатель: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W w:w="5210" w:type="dxa"/>
            <w:textDirection w:val="lrTb"/>
            <w:noWrap w:val="false"/>
          </w:tcPr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  <w:tc>
          <w:tcPr>
            <w:tcW w:w="5210" w:type="dxa"/>
            <w:textDirection w:val="lrTb"/>
            <w:noWrap w:val="false"/>
          </w:tcPr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spacing w:line="276" w:lineRule="auto"/>
              <w:rPr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</w:p>
        </w:tc>
      </w:tr>
    </w:tbl>
    <w:p>
      <w:pPr>
        <w:ind w:firstLine="0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851"/>
        <w:jc w:val="center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7655" w:firstLine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</w:r>
    </w:p>
    <w:p>
      <w:pPr>
        <w:pStyle w:val="73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567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3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802"/>
        <w:contextualSpacing/>
        <w:jc w:val="both"/>
        <w:spacing w:line="216" w:lineRule="auto"/>
        <w:rPr>
          <w:lang w:val="ru-RU"/>
        </w:rPr>
      </w:pPr>
      <w:r>
        <w:rPr>
          <w:rStyle w:val="7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 xml:space="preserve">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</w:t>
      </w:r>
      <w:r>
        <w:rPr>
          <w:sz w:val="18"/>
          <w:szCs w:val="18"/>
          <w:lang w:val="ru-RU"/>
        </w:rPr>
        <w:t xml:space="preserve"> от 24.07.2007 № </w:t>
      </w:r>
      <w:r>
        <w:rPr>
          <w:sz w:val="18"/>
          <w:szCs w:val="18"/>
          <w:lang w:val="ru-RU"/>
        </w:rPr>
        <w:t xml:space="preserve">209-ФЗ «О развитии малого и среднего предпринимательства в Российской Федерации»</w:t>
      </w:r>
      <w:r>
        <w:rPr>
          <w:sz w:val="18"/>
          <w:szCs w:val="18"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6">
    <w:name w:val="Heading 1 Char"/>
    <w:basedOn w:val="741"/>
    <w:link w:val="732"/>
    <w:uiPriority w:val="9"/>
    <w:rPr>
      <w:rFonts w:ascii="Arial" w:hAnsi="Arial" w:eastAsia="Arial" w:cs="Arial"/>
      <w:sz w:val="40"/>
      <w:szCs w:val="40"/>
    </w:rPr>
  </w:style>
  <w:style w:type="character" w:styleId="717">
    <w:name w:val="Heading 2 Char"/>
    <w:basedOn w:val="741"/>
    <w:link w:val="733"/>
    <w:uiPriority w:val="9"/>
    <w:rPr>
      <w:rFonts w:ascii="Arial" w:hAnsi="Arial" w:eastAsia="Arial" w:cs="Arial"/>
      <w:sz w:val="34"/>
    </w:rPr>
  </w:style>
  <w:style w:type="character" w:styleId="718">
    <w:name w:val="Heading 3 Char"/>
    <w:basedOn w:val="741"/>
    <w:link w:val="734"/>
    <w:uiPriority w:val="9"/>
    <w:rPr>
      <w:rFonts w:ascii="Arial" w:hAnsi="Arial" w:eastAsia="Arial" w:cs="Arial"/>
      <w:sz w:val="30"/>
      <w:szCs w:val="30"/>
    </w:rPr>
  </w:style>
  <w:style w:type="character" w:styleId="719">
    <w:name w:val="Heading 4 Char"/>
    <w:basedOn w:val="741"/>
    <w:link w:val="735"/>
    <w:uiPriority w:val="9"/>
    <w:rPr>
      <w:rFonts w:ascii="Arial" w:hAnsi="Arial" w:eastAsia="Arial" w:cs="Arial"/>
      <w:b/>
      <w:bCs/>
      <w:sz w:val="26"/>
      <w:szCs w:val="26"/>
    </w:rPr>
  </w:style>
  <w:style w:type="character" w:styleId="720">
    <w:name w:val="Heading 5 Char"/>
    <w:basedOn w:val="741"/>
    <w:link w:val="736"/>
    <w:uiPriority w:val="9"/>
    <w:rPr>
      <w:rFonts w:ascii="Arial" w:hAnsi="Arial" w:eastAsia="Arial" w:cs="Arial"/>
      <w:b/>
      <w:bCs/>
      <w:sz w:val="24"/>
      <w:szCs w:val="24"/>
    </w:rPr>
  </w:style>
  <w:style w:type="character" w:styleId="721">
    <w:name w:val="Heading 6 Char"/>
    <w:basedOn w:val="741"/>
    <w:link w:val="737"/>
    <w:uiPriority w:val="9"/>
    <w:rPr>
      <w:rFonts w:ascii="Arial" w:hAnsi="Arial" w:eastAsia="Arial" w:cs="Arial"/>
      <w:b/>
      <w:bCs/>
      <w:sz w:val="22"/>
      <w:szCs w:val="22"/>
    </w:rPr>
  </w:style>
  <w:style w:type="character" w:styleId="722">
    <w:name w:val="Heading 7 Char"/>
    <w:basedOn w:val="741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8 Char"/>
    <w:basedOn w:val="741"/>
    <w:link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24">
    <w:name w:val="Heading 9 Char"/>
    <w:basedOn w:val="741"/>
    <w:link w:val="740"/>
    <w:uiPriority w:val="9"/>
    <w:rPr>
      <w:rFonts w:ascii="Arial" w:hAnsi="Arial" w:eastAsia="Arial" w:cs="Arial"/>
      <w:i/>
      <w:iCs/>
      <w:sz w:val="21"/>
      <w:szCs w:val="21"/>
    </w:rPr>
  </w:style>
  <w:style w:type="character" w:styleId="725">
    <w:name w:val="Title Char"/>
    <w:basedOn w:val="741"/>
    <w:link w:val="776"/>
    <w:uiPriority w:val="10"/>
    <w:rPr>
      <w:sz w:val="48"/>
      <w:szCs w:val="48"/>
    </w:rPr>
  </w:style>
  <w:style w:type="character" w:styleId="726">
    <w:name w:val="Subtitle Char"/>
    <w:basedOn w:val="741"/>
    <w:link w:val="777"/>
    <w:uiPriority w:val="11"/>
    <w:rPr>
      <w:sz w:val="24"/>
      <w:szCs w:val="24"/>
    </w:rPr>
  </w:style>
  <w:style w:type="character" w:styleId="727">
    <w:name w:val="Quote Char"/>
    <w:link w:val="778"/>
    <w:uiPriority w:val="29"/>
    <w:rPr>
      <w:i/>
    </w:rPr>
  </w:style>
  <w:style w:type="character" w:styleId="728">
    <w:name w:val="Intense Quote Char"/>
    <w:link w:val="779"/>
    <w:uiPriority w:val="30"/>
    <w:rPr>
      <w:i/>
    </w:rPr>
  </w:style>
  <w:style w:type="character" w:styleId="729">
    <w:name w:val="Endnote Text Char"/>
    <w:link w:val="781"/>
    <w:uiPriority w:val="99"/>
    <w:rPr>
      <w:sz w:val="20"/>
    </w:rPr>
  </w:style>
  <w:style w:type="paragraph" w:styleId="730">
    <w:name w:val="toc 2"/>
    <w:basedOn w:val="731"/>
    <w:next w:val="731"/>
    <w:uiPriority w:val="39"/>
    <w:unhideWhenUsed/>
    <w:pPr>
      <w:ind w:left="283" w:right="0" w:firstLine="0"/>
      <w:spacing w:after="57"/>
    </w:pPr>
  </w:style>
  <w:style w:type="paragraph" w:styleId="73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32">
    <w:name w:val="Heading 1"/>
    <w:basedOn w:val="731"/>
    <w:next w:val="731"/>
    <w:link w:val="80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33">
    <w:name w:val="Heading 2"/>
    <w:basedOn w:val="731"/>
    <w:next w:val="731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34">
    <w:name w:val="Heading 3"/>
    <w:basedOn w:val="731"/>
    <w:next w:val="731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35">
    <w:name w:val="Heading 4"/>
    <w:basedOn w:val="731"/>
    <w:next w:val="731"/>
    <w:link w:val="8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731"/>
    <w:next w:val="731"/>
    <w:link w:val="8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37">
    <w:name w:val="Heading 6"/>
    <w:basedOn w:val="731"/>
    <w:next w:val="731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731"/>
    <w:next w:val="731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9">
    <w:name w:val="Heading 8"/>
    <w:basedOn w:val="731"/>
    <w:next w:val="731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731"/>
    <w:next w:val="731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 w:default="1">
    <w:name w:val="Default Paragraph Font"/>
    <w:uiPriority w:val="1"/>
    <w:semiHidden/>
    <w:unhideWhenUsed/>
    <w:qFormat/>
  </w:style>
  <w:style w:type="character" w:styleId="742" w:customStyle="1">
    <w:name w:val="Заголовок 2 Знак"/>
    <w:basedOn w:val="741"/>
    <w:uiPriority w:val="9"/>
    <w:qFormat/>
    <w:rPr>
      <w:rFonts w:ascii="Arial" w:hAnsi="Arial" w:eastAsia="Arial" w:cs="Arial"/>
      <w:sz w:val="34"/>
    </w:rPr>
  </w:style>
  <w:style w:type="character" w:styleId="743" w:customStyle="1">
    <w:name w:val="Заголовок 6 Знак"/>
    <w:basedOn w:val="74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basedOn w:val="74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basedOn w:val="74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basedOn w:val="74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47" w:customStyle="1">
    <w:name w:val="Заголовок Знак"/>
    <w:basedOn w:val="741"/>
    <w:uiPriority w:val="10"/>
    <w:qFormat/>
    <w:rPr>
      <w:sz w:val="48"/>
      <w:szCs w:val="48"/>
    </w:rPr>
  </w:style>
  <w:style w:type="character" w:styleId="748" w:customStyle="1">
    <w:name w:val="Подзаголовок Знак"/>
    <w:basedOn w:val="741"/>
    <w:uiPriority w:val="11"/>
    <w:qFormat/>
    <w:rPr>
      <w:sz w:val="24"/>
      <w:szCs w:val="24"/>
    </w:rPr>
  </w:style>
  <w:style w:type="character" w:styleId="749" w:customStyle="1">
    <w:name w:val="Цитата 2 Знак"/>
    <w:link w:val="778"/>
    <w:uiPriority w:val="29"/>
    <w:qFormat/>
    <w:rPr>
      <w:i/>
    </w:rPr>
  </w:style>
  <w:style w:type="character" w:styleId="750" w:customStyle="1">
    <w:name w:val="Выделенная цитата Знак"/>
    <w:link w:val="779"/>
    <w:uiPriority w:val="30"/>
    <w:qFormat/>
    <w:rPr>
      <w:i/>
    </w:rPr>
  </w:style>
  <w:style w:type="character" w:styleId="751" w:customStyle="1">
    <w:name w:val="Header Char"/>
    <w:basedOn w:val="741"/>
    <w:uiPriority w:val="99"/>
    <w:qFormat/>
  </w:style>
  <w:style w:type="character" w:styleId="752" w:customStyle="1">
    <w:name w:val="Footer Char"/>
    <w:basedOn w:val="741"/>
    <w:uiPriority w:val="99"/>
    <w:qFormat/>
  </w:style>
  <w:style w:type="character" w:styleId="753" w:customStyle="1">
    <w:name w:val="Caption Char"/>
    <w:uiPriority w:val="99"/>
    <w:qFormat/>
  </w:style>
  <w:style w:type="character" w:styleId="754" w:customStyle="1">
    <w:name w:val="Footnote Text Char"/>
    <w:uiPriority w:val="99"/>
    <w:qFormat/>
    <w:rPr>
      <w:sz w:val="18"/>
    </w:rPr>
  </w:style>
  <w:style w:type="character" w:styleId="755" w:customStyle="1">
    <w:name w:val="Текст концевой сноски Знак"/>
    <w:uiPriority w:val="99"/>
    <w:qFormat/>
    <w:rPr>
      <w:sz w:val="20"/>
    </w:rPr>
  </w:style>
  <w:style w:type="character" w:styleId="756">
    <w:name w:val="Символ концевой сноски"/>
    <w:basedOn w:val="741"/>
    <w:uiPriority w:val="99"/>
    <w:semiHidden/>
    <w:unhideWhenUsed/>
    <w:qFormat/>
    <w:rPr>
      <w:vertAlign w:val="superscript"/>
    </w:rPr>
  </w:style>
  <w:style w:type="character" w:styleId="757">
    <w:name w:val="endnote reference"/>
    <w:rPr>
      <w:vertAlign w:val="superscript"/>
    </w:rPr>
  </w:style>
  <w:style w:type="character" w:styleId="758">
    <w:name w:val="FollowedHyperlink"/>
    <w:basedOn w:val="741"/>
    <w:uiPriority w:val="99"/>
    <w:unhideWhenUsed/>
    <w:qFormat/>
    <w:rPr>
      <w:color w:val="800080"/>
      <w:u w:val="single"/>
    </w:rPr>
  </w:style>
  <w:style w:type="character" w:styleId="759">
    <w:name w:val="Hyperlink"/>
    <w:basedOn w:val="741"/>
    <w:uiPriority w:val="99"/>
    <w:unhideWhenUsed/>
    <w:qFormat/>
    <w:rPr>
      <w:color w:val="0000ff"/>
      <w:u w:val="single"/>
    </w:rPr>
  </w:style>
  <w:style w:type="character" w:styleId="760">
    <w:name w:val="Strong"/>
    <w:basedOn w:val="741"/>
    <w:qFormat/>
    <w:rPr>
      <w:rFonts w:cs="Times New Roman"/>
      <w:b/>
      <w:bCs/>
    </w:rPr>
  </w:style>
  <w:style w:type="character" w:styleId="761" w:customStyle="1">
    <w:name w:val="Верх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2" w:customStyle="1">
    <w:name w:val="Нижний колонтитул Знак"/>
    <w:basedOn w:val="74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63" w:customStyle="1">
    <w:name w:val="10"/>
    <w:basedOn w:val="741"/>
    <w:qFormat/>
    <w:rPr>
      <w:rFonts w:ascii="Times New Roman" w:hAnsi="Times New Roman" w:cs="Times New Roman"/>
    </w:rPr>
  </w:style>
  <w:style w:type="character" w:styleId="764" w:customStyle="1">
    <w:name w:val="15"/>
    <w:basedOn w:val="741"/>
    <w:qFormat/>
    <w:rPr>
      <w:rFonts w:ascii="Times New Roman" w:hAnsi="Times New Roman" w:cs="Times New Roman"/>
      <w:color w:val="0000ff"/>
      <w:u w:val="single"/>
    </w:rPr>
  </w:style>
  <w:style w:type="character" w:styleId="765" w:customStyle="1">
    <w:name w:val="16"/>
    <w:basedOn w:val="741"/>
    <w:qFormat/>
    <w:rPr>
      <w:rFonts w:ascii="Times New Roman" w:hAnsi="Times New Roman" w:cs="Times New Roman"/>
    </w:rPr>
  </w:style>
  <w:style w:type="character" w:styleId="766" w:customStyle="1">
    <w:name w:val="rts-text"/>
    <w:basedOn w:val="741"/>
    <w:qFormat/>
  </w:style>
  <w:style w:type="character" w:styleId="767">
    <w:name w:val="Символ сноски"/>
    <w:qFormat/>
    <w:rPr>
      <w:vertAlign w:val="superscript"/>
    </w:rPr>
  </w:style>
  <w:style w:type="character" w:styleId="768">
    <w:name w:val="footnote reference"/>
    <w:rPr>
      <w:vertAlign w:val="superscript"/>
    </w:rPr>
  </w:style>
  <w:style w:type="character" w:styleId="769" w:customStyle="1">
    <w:name w:val="Текст сноски Знак"/>
    <w:basedOn w:val="741"/>
    <w:qFormat/>
    <w:rPr>
      <w:rFonts w:ascii="Times New Roman" w:hAnsi="Times New Roman" w:eastAsia="Times New Roman" w:cs="Times New Roman"/>
      <w:lang w:eastAsia="zh-CN"/>
    </w:rPr>
  </w:style>
  <w:style w:type="character" w:styleId="770" w:customStyle="1">
    <w:name w:val="Текст выноски Знак"/>
    <w:basedOn w:val="741"/>
    <w:link w:val="80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71">
    <w:name w:val="Заголовок"/>
    <w:basedOn w:val="731"/>
    <w:next w:val="77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72">
    <w:name w:val="Body Text"/>
    <w:basedOn w:val="731"/>
    <w:pPr>
      <w:spacing w:before="0" w:after="140" w:line="276" w:lineRule="auto"/>
    </w:pPr>
  </w:style>
  <w:style w:type="paragraph" w:styleId="773">
    <w:name w:val="List"/>
    <w:basedOn w:val="772"/>
    <w:rPr>
      <w:rFonts w:cs="Mangal"/>
    </w:rPr>
  </w:style>
  <w:style w:type="paragraph" w:styleId="774">
    <w:name w:val="Caption"/>
    <w:basedOn w:val="73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5">
    <w:name w:val="Указатель"/>
    <w:basedOn w:val="731"/>
    <w:qFormat/>
    <w:pPr>
      <w:suppressLineNumbers/>
    </w:pPr>
    <w:rPr>
      <w:rFonts w:cs="Mangal"/>
    </w:rPr>
  </w:style>
  <w:style w:type="paragraph" w:styleId="776">
    <w:name w:val="Title"/>
    <w:basedOn w:val="731"/>
    <w:next w:val="731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77">
    <w:name w:val="Subtitle"/>
    <w:basedOn w:val="731"/>
    <w:next w:val="731"/>
    <w:link w:val="748"/>
    <w:uiPriority w:val="11"/>
    <w:qFormat/>
    <w:pPr>
      <w:spacing w:before="200" w:after="200"/>
    </w:pPr>
  </w:style>
  <w:style w:type="paragraph" w:styleId="778">
    <w:name w:val="Quote"/>
    <w:basedOn w:val="731"/>
    <w:next w:val="731"/>
    <w:link w:val="749"/>
    <w:uiPriority w:val="29"/>
    <w:qFormat/>
    <w:pPr>
      <w:ind w:left="720" w:right="720" w:firstLine="0"/>
    </w:pPr>
    <w:rPr>
      <w:i/>
    </w:rPr>
  </w:style>
  <w:style w:type="paragraph" w:styleId="779">
    <w:name w:val="Intense Quote"/>
    <w:basedOn w:val="731"/>
    <w:next w:val="731"/>
    <w:link w:val="75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0">
    <w:name w:val="Caption"/>
    <w:basedOn w:val="731"/>
    <w:next w:val="7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81">
    <w:name w:val="endnote text"/>
    <w:basedOn w:val="731"/>
    <w:link w:val="755"/>
    <w:uiPriority w:val="99"/>
    <w:semiHidden/>
    <w:unhideWhenUsed/>
    <w:rPr>
      <w:sz w:val="20"/>
    </w:rPr>
  </w:style>
  <w:style w:type="paragraph" w:styleId="782">
    <w:name w:val="toc 1"/>
    <w:basedOn w:val="731"/>
    <w:next w:val="731"/>
    <w:uiPriority w:val="39"/>
    <w:unhideWhenUsed/>
    <w:pPr>
      <w:spacing w:before="0" w:after="57"/>
    </w:pPr>
  </w:style>
  <w:style w:type="paragraph" w:styleId="783">
    <w:name w:val="toc 3"/>
    <w:basedOn w:val="731"/>
    <w:next w:val="731"/>
    <w:uiPriority w:val="39"/>
    <w:unhideWhenUsed/>
    <w:pPr>
      <w:ind w:left="567" w:firstLine="0"/>
      <w:spacing w:before="0" w:after="57"/>
    </w:pPr>
  </w:style>
  <w:style w:type="paragraph" w:styleId="784">
    <w:name w:val="toc 4"/>
    <w:basedOn w:val="731"/>
    <w:next w:val="731"/>
    <w:uiPriority w:val="39"/>
    <w:unhideWhenUsed/>
    <w:pPr>
      <w:ind w:left="850" w:firstLine="0"/>
      <w:spacing w:before="0" w:after="57"/>
    </w:pPr>
  </w:style>
  <w:style w:type="paragraph" w:styleId="785">
    <w:name w:val="toc 5"/>
    <w:basedOn w:val="731"/>
    <w:next w:val="731"/>
    <w:uiPriority w:val="39"/>
    <w:unhideWhenUsed/>
    <w:pPr>
      <w:ind w:left="1134" w:firstLine="0"/>
      <w:spacing w:before="0" w:after="57"/>
    </w:pPr>
  </w:style>
  <w:style w:type="paragraph" w:styleId="786">
    <w:name w:val="toc 6"/>
    <w:basedOn w:val="731"/>
    <w:next w:val="731"/>
    <w:uiPriority w:val="39"/>
    <w:unhideWhenUsed/>
    <w:pPr>
      <w:ind w:left="1417" w:firstLine="0"/>
      <w:spacing w:before="0" w:after="57"/>
    </w:pPr>
  </w:style>
  <w:style w:type="paragraph" w:styleId="787">
    <w:name w:val="toc 7"/>
    <w:basedOn w:val="731"/>
    <w:next w:val="731"/>
    <w:uiPriority w:val="39"/>
    <w:unhideWhenUsed/>
    <w:pPr>
      <w:ind w:left="1701" w:firstLine="0"/>
      <w:spacing w:before="0" w:after="57"/>
    </w:pPr>
  </w:style>
  <w:style w:type="paragraph" w:styleId="788">
    <w:name w:val="toc 8"/>
    <w:basedOn w:val="731"/>
    <w:next w:val="731"/>
    <w:uiPriority w:val="39"/>
    <w:unhideWhenUsed/>
    <w:pPr>
      <w:ind w:left="1984" w:firstLine="0"/>
      <w:spacing w:before="0" w:after="57"/>
    </w:pPr>
  </w:style>
  <w:style w:type="paragraph" w:styleId="789">
    <w:name w:val="toc 9"/>
    <w:basedOn w:val="731"/>
    <w:next w:val="731"/>
    <w:uiPriority w:val="39"/>
    <w:unhideWhenUsed/>
    <w:pPr>
      <w:ind w:left="2268" w:firstLine="0"/>
      <w:spacing w:before="0" w:after="57"/>
    </w:pPr>
  </w:style>
  <w:style w:type="paragraph" w:styleId="790">
    <w:name w:val="Index Heading"/>
    <w:basedOn w:val="771"/>
  </w:style>
  <w:style w:type="paragraph" w:styleId="79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792">
    <w:name w:val="table of figures"/>
    <w:basedOn w:val="731"/>
    <w:next w:val="731"/>
    <w:uiPriority w:val="99"/>
    <w:unhideWhenUsed/>
    <w:qFormat/>
  </w:style>
  <w:style w:type="paragraph" w:styleId="793">
    <w:name w:val="Body Text Indent 3"/>
    <w:basedOn w:val="73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794">
    <w:name w:val="Колонтитул"/>
    <w:basedOn w:val="731"/>
    <w:qFormat/>
  </w:style>
  <w:style w:type="paragraph" w:styleId="795">
    <w:name w:val="Header"/>
    <w:basedOn w:val="731"/>
    <w:link w:val="761"/>
    <w:uiPriority w:val="99"/>
    <w:unhideWhenUsed/>
    <w:qFormat/>
  </w:style>
  <w:style w:type="paragraph" w:styleId="796">
    <w:name w:val="Footer"/>
    <w:basedOn w:val="731"/>
    <w:link w:val="762"/>
    <w:uiPriority w:val="99"/>
    <w:unhideWhenUsed/>
    <w:qFormat/>
  </w:style>
  <w:style w:type="paragraph" w:styleId="797">
    <w:name w:val="Normal (Web)"/>
    <w:basedOn w:val="73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79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799" w:customStyle="1">
    <w:name w:val="rezul"/>
    <w:basedOn w:val="73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00" w:customStyle="1">
    <w:name w:val="Заголов1"/>
    <w:basedOn w:val="73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01">
    <w:name w:val="List Paragraph"/>
    <w:basedOn w:val="731"/>
    <w:uiPriority w:val="99"/>
    <w:qFormat/>
    <w:pPr>
      <w:contextualSpacing/>
      <w:ind w:left="720" w:firstLine="0"/>
      <w:spacing w:before="0" w:after="0"/>
    </w:pPr>
  </w:style>
  <w:style w:type="paragraph" w:styleId="802">
    <w:name w:val="footnote text"/>
    <w:basedOn w:val="731"/>
    <w:link w:val="769"/>
    <w:rPr>
      <w:sz w:val="20"/>
      <w:szCs w:val="20"/>
      <w:lang w:eastAsia="zh-CN"/>
    </w:rPr>
  </w:style>
  <w:style w:type="paragraph" w:styleId="803">
    <w:name w:val="Balloon Text"/>
    <w:basedOn w:val="731"/>
    <w:link w:val="77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04" w:default="1">
    <w:name w:val="No List"/>
    <w:uiPriority w:val="99"/>
    <w:semiHidden/>
    <w:unhideWhenUsed/>
    <w:qFormat/>
  </w:style>
  <w:style w:type="table" w:styleId="80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Table Grid Light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7">
    <w:name w:val="Plain Table 1"/>
    <w:basedOn w:val="80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8">
    <w:name w:val="Plain Table 2"/>
    <w:basedOn w:val="80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09">
    <w:name w:val="Plain Table 3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80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80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80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1"/>
    <w:basedOn w:val="80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5"/>
    <w:basedOn w:val="80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6"/>
    <w:basedOn w:val="80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80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 w:customStyle="1">
    <w:name w:val="Grid Table 4 - Accent 1"/>
    <w:basedOn w:val="80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35" w:customStyle="1">
    <w:name w:val="Grid Table 4 - Accent 2"/>
    <w:basedOn w:val="80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36" w:customStyle="1">
    <w:name w:val="Grid Table 4 - Accent 3"/>
    <w:basedOn w:val="80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37" w:customStyle="1">
    <w:name w:val="Grid Table 4 - Accent 4"/>
    <w:basedOn w:val="80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38" w:customStyle="1">
    <w:name w:val="Grid Table 4 - Accent 5"/>
    <w:basedOn w:val="80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9" w:customStyle="1">
    <w:name w:val="Grid Table 4 - Accent 6"/>
    <w:basedOn w:val="80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0">
    <w:name w:val="Grid Table 5 Dark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- Accent 1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2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 - Accent 3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4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5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6"/>
    <w:basedOn w:val="80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47">
    <w:name w:val="Grid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8" w:customStyle="1">
    <w:name w:val="Grid Table 6 Colorful - Accent 1"/>
    <w:basedOn w:val="80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9" w:customStyle="1">
    <w:name w:val="Grid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0" w:customStyle="1">
    <w:name w:val="Grid Table 6 Colorful - Accent 3"/>
    <w:basedOn w:val="80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1" w:customStyle="1">
    <w:name w:val="Grid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2" w:customStyle="1">
    <w:name w:val="Grid Table 6 Colorful - Accent 5"/>
    <w:basedOn w:val="80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6 Colorful - Accent 6"/>
    <w:basedOn w:val="80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4">
    <w:name w:val="Grid Table 7 Colorful"/>
    <w:basedOn w:val="80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5" w:customStyle="1">
    <w:name w:val="Grid Table 7 Colorful - Accent 1"/>
    <w:basedOn w:val="80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6" w:customStyle="1">
    <w:name w:val="Grid Table 7 Colorful - Accent 2"/>
    <w:basedOn w:val="80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7" w:customStyle="1">
    <w:name w:val="Grid Table 7 Colorful - Accent 3"/>
    <w:basedOn w:val="80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8" w:customStyle="1">
    <w:name w:val="Grid Table 7 Colorful - Accent 4"/>
    <w:basedOn w:val="80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Grid Table 7 Colorful - Accent 5"/>
    <w:basedOn w:val="80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0" w:customStyle="1">
    <w:name w:val="Grid Table 7 Colorful - Accent 6"/>
    <w:basedOn w:val="80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1">
    <w:name w:val="List Table 1 Light"/>
    <w:basedOn w:val="80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1"/>
    <w:basedOn w:val="80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2"/>
    <w:basedOn w:val="80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3"/>
    <w:basedOn w:val="80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4"/>
    <w:basedOn w:val="80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5"/>
    <w:basedOn w:val="80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6"/>
    <w:basedOn w:val="80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80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69" w:customStyle="1">
    <w:name w:val="List Table 2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70" w:customStyle="1">
    <w:name w:val="List Table 2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71" w:customStyle="1">
    <w:name w:val="List Table 2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72" w:customStyle="1">
    <w:name w:val="List Table 2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73" w:customStyle="1">
    <w:name w:val="List Table 2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74" w:customStyle="1">
    <w:name w:val="List Table 2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75">
    <w:name w:val="List Table 3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80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1"/>
    <w:basedOn w:val="80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2"/>
    <w:basedOn w:val="80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3"/>
    <w:basedOn w:val="80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4"/>
    <w:basedOn w:val="80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5"/>
    <w:basedOn w:val="80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6"/>
    <w:basedOn w:val="80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80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0" w:customStyle="1">
    <w:name w:val="List Table 5 Dark - Accent 1"/>
    <w:basedOn w:val="80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1" w:customStyle="1">
    <w:name w:val="List Table 5 Dark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>
    <w:name w:val="List Table 6 Colorful"/>
    <w:basedOn w:val="80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97" w:customStyle="1">
    <w:name w:val="List Table 6 Colorful - Accent 1"/>
    <w:basedOn w:val="80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8" w:customStyle="1">
    <w:name w:val="List Table 6 Colorful - Accent 2"/>
    <w:basedOn w:val="80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99" w:customStyle="1">
    <w:name w:val="List Table 6 Colorful - Accent 3"/>
    <w:basedOn w:val="80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00" w:customStyle="1">
    <w:name w:val="List Table 6 Colorful - Accent 4"/>
    <w:basedOn w:val="80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01" w:customStyle="1">
    <w:name w:val="List Table 6 Colorful - Accent 5"/>
    <w:basedOn w:val="80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02" w:customStyle="1">
    <w:name w:val="List Table 6 Colorful - Accent 6"/>
    <w:basedOn w:val="80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03">
    <w:name w:val="List Table 7 Colorful"/>
    <w:basedOn w:val="80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4" w:customStyle="1">
    <w:name w:val="List Table 7 Colorful - Accent 1"/>
    <w:basedOn w:val="80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5" w:customStyle="1">
    <w:name w:val="List Table 7 Colorful - Accent 2"/>
    <w:basedOn w:val="80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6" w:customStyle="1">
    <w:name w:val="List Table 7 Colorful - Accent 3"/>
    <w:basedOn w:val="80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7" w:customStyle="1">
    <w:name w:val="List Table 7 Colorful - Accent 4"/>
    <w:basedOn w:val="80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8" w:customStyle="1">
    <w:name w:val="List Table 7 Colorful - Accent 5"/>
    <w:basedOn w:val="80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09" w:customStyle="1">
    <w:name w:val="List Table 7 Colorful - Accent 6"/>
    <w:basedOn w:val="80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0" w:customStyle="1">
    <w:name w:val="Lined - Accent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1" w:customStyle="1">
    <w:name w:val="Lined - Accent 1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2" w:customStyle="1">
    <w:name w:val="Lined - Accent 2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3" w:customStyle="1">
    <w:name w:val="Lined - Accent 3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4" w:customStyle="1">
    <w:name w:val="Lined - Accent 4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5" w:customStyle="1">
    <w:name w:val="Lined - Accent 5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16" w:customStyle="1">
    <w:name w:val="Lined - Accent 6"/>
    <w:basedOn w:val="80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17" w:customStyle="1">
    <w:name w:val="Bordered &amp; Lined - Accent"/>
    <w:basedOn w:val="80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18" w:customStyle="1">
    <w:name w:val="Bordered &amp; Lined - Accent 1"/>
    <w:basedOn w:val="80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19" w:customStyle="1">
    <w:name w:val="Bordered &amp; Lined - Accent 2"/>
    <w:basedOn w:val="80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20" w:customStyle="1">
    <w:name w:val="Bordered &amp; Lined - Accent 3"/>
    <w:basedOn w:val="80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21" w:customStyle="1">
    <w:name w:val="Bordered &amp; Lined - Accent 4"/>
    <w:basedOn w:val="80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22" w:customStyle="1">
    <w:name w:val="Bordered &amp; Lined - Accent 5"/>
    <w:basedOn w:val="80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23" w:customStyle="1">
    <w:name w:val="Bordered &amp; Lined - Accent 6"/>
    <w:basedOn w:val="80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24" w:customStyle="1">
    <w:name w:val="Bordered"/>
    <w:basedOn w:val="80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25" w:customStyle="1">
    <w:name w:val="Bordered - Accent 1"/>
    <w:basedOn w:val="80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6" w:customStyle="1">
    <w:name w:val="Bordered - Accent 2"/>
    <w:basedOn w:val="80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27" w:customStyle="1">
    <w:name w:val="Bordered - Accent 3"/>
    <w:basedOn w:val="80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28" w:customStyle="1">
    <w:name w:val="Bordered - Accent 4"/>
    <w:basedOn w:val="80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29" w:customStyle="1">
    <w:name w:val="Bordered - Accent 5"/>
    <w:basedOn w:val="80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30" w:customStyle="1">
    <w:name w:val="Bordered - Accent 6"/>
    <w:basedOn w:val="80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31">
    <w:name w:val="Table Grid"/>
    <w:basedOn w:val="80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s://www.rts-tender.ru/" TargetMode="External"/><Relationship Id="rId12" Type="http://schemas.openxmlformats.org/officeDocument/2006/relationships/hyperlink" Target="http://www.rts-tender.ru/" TargetMode="External"/><Relationship Id="rId13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46</cp:revision>
  <dcterms:created xsi:type="dcterms:W3CDTF">2023-10-31T06:24:00Z</dcterms:created>
  <dcterms:modified xsi:type="dcterms:W3CDTF">2025-04-23T12:55:35Z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