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Утверждено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Администрации города Костромы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от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pStyle w:val="874"/>
        <w:rPr>
          <w:rFonts w:ascii="Times New Roman" w:hAnsi="Times New Roman" w:cs="Times New Roman"/>
          <w:highlight w:val="none"/>
          <w:lang w:val="ru-RU"/>
        </w:rPr>
        <w:outlineLvl w:val="0"/>
      </w:pP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highlight w:val="none"/>
          <w:lang w:val="ru-RU"/>
        </w:rPr>
      </w:r>
    </w:p>
    <w:p>
      <w:pPr>
        <w:pStyle w:val="874"/>
        <w:rPr>
          <w:rFonts w:ascii="Times New Roman" w:hAnsi="Times New Roman" w:cs="Times New Roman"/>
          <w:highlight w:val="none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ИЗВЕЩЕНИЕ</w:t>
      </w: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highlight w:val="none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О </w:t>
      </w:r>
      <w:r>
        <w:rPr>
          <w:rFonts w:ascii="Times New Roman" w:hAnsi="Times New Roman" w:cs="Times New Roman"/>
          <w:lang w:val="ru-RU"/>
        </w:rPr>
        <w:t xml:space="preserve">проведении аукциона </w:t>
      </w:r>
      <w:r>
        <w:rPr>
          <w:rFonts w:ascii="Times New Roman" w:hAnsi="Times New Roman" w:cs="Times New Roman"/>
          <w:lang w:val="ru-RU"/>
        </w:rPr>
        <w:t xml:space="preserve">по продаже в собственность</w:t>
      </w:r>
      <w:r>
        <w:rPr>
          <w:rFonts w:ascii="Times New Roman" w:hAnsi="Times New Roman" w:cs="Times New Roman"/>
          <w:lang w:val="ru-RU"/>
        </w:rPr>
        <w:t xml:space="preserve"> земельных участков</w:t>
      </w:r>
      <w:r>
        <w:rPr>
          <w:rFonts w:ascii="Times New Roman" w:hAnsi="Times New Roman" w:cs="Times New Roman"/>
          <w:lang w:val="ru-RU"/>
        </w:rPr>
        <w:t xml:space="preserve">, расположенн</w:t>
      </w:r>
      <w:r>
        <w:rPr>
          <w:rFonts w:ascii="Times New Roman" w:hAnsi="Times New Roman" w:cs="Times New Roman"/>
          <w:lang w:val="ru-RU"/>
        </w:rPr>
        <w:t xml:space="preserve">ых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 территории го</w:t>
      </w:r>
      <w:r>
        <w:rPr>
          <w:rFonts w:ascii="Times New Roman" w:hAnsi="Times New Roman" w:cs="Times New Roman"/>
          <w:lang w:val="ru-RU"/>
        </w:rPr>
        <w:t xml:space="preserve">род</w:t>
      </w:r>
      <w:r>
        <w:rPr>
          <w:rFonts w:ascii="Times New Roman" w:hAnsi="Times New Roman" w:cs="Times New Roman"/>
          <w:lang w:val="ru-RU"/>
        </w:rPr>
        <w:t xml:space="preserve">а</w:t>
      </w:r>
      <w:r>
        <w:rPr>
          <w:rFonts w:ascii="Times New Roman" w:hAnsi="Times New Roman" w:cs="Times New Roman"/>
          <w:lang w:val="ru-RU"/>
        </w:rPr>
        <w:t xml:space="preserve"> Костром</w:t>
      </w:r>
      <w:r>
        <w:rPr>
          <w:rFonts w:ascii="Times New Roman" w:hAnsi="Times New Roman" w:cs="Times New Roman"/>
          <w:lang w:val="ru-RU"/>
        </w:rPr>
        <w:t xml:space="preserve">ы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государственная собственность на которые не разграничена 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извещение, вносимые в него изменения,</w:t>
      </w:r>
      <w:r>
        <w:rPr>
          <w:rFonts w:ascii="Times New Roman" w:hAnsi="Times New Roman" w:cs="Times New Roman"/>
        </w:rPr>
        <w:t xml:space="preserve"> извещение об отказе от проведения аукциона размещаются на официальном сайте торгов в сети «Интернет» по адресу: www.torgi.gov.ru (далее – официальный сайт торгов) и опубликовываются в информационно-правовом бюллетене «Официальный вестник города Костромы».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ИМУЩЕСТВЕННЫХ И ЗЕМЕЛЬНЫХ ОТНОШЕНИЙ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КОСТРОМЫ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о</w:t>
      </w:r>
      <w:r>
        <w:rPr>
          <w:rFonts w:ascii="Times New Roman" w:hAnsi="Times New Roman" w:cs="Times New Roman"/>
          <w:highlight w:val="white"/>
        </w:rPr>
        <w:t xml:space="preserve">бъявляет о </w:t>
      </w:r>
      <w:r>
        <w:rPr>
          <w:rFonts w:ascii="Times New Roman" w:hAnsi="Times New Roman" w:cs="Times New Roman"/>
          <w:highlight w:val="white"/>
        </w:rPr>
        <w:t xml:space="preserve">проведении </w:t>
      </w:r>
      <w:r>
        <w:rPr>
          <w:rFonts w:ascii="Times New Roman" w:hAnsi="Times New Roman" w:cs="Times New Roman"/>
          <w:b/>
          <w:bCs/>
          <w:highlight w:val="white"/>
        </w:rPr>
        <w:t xml:space="preserve">2 апреля</w:t>
      </w:r>
      <w:r>
        <w:rPr>
          <w:rFonts w:ascii="Times New Roman" w:hAnsi="Times New Roman" w:cs="Times New Roman"/>
          <w:b/>
          <w:bCs/>
          <w:highlight w:val="white"/>
        </w:rPr>
        <w:t xml:space="preserve"> 20</w:t>
      </w:r>
      <w:r>
        <w:rPr>
          <w:rFonts w:ascii="Times New Roman" w:hAnsi="Times New Roman" w:cs="Times New Roman"/>
          <w:b/>
          <w:bCs/>
          <w:highlight w:val="white"/>
        </w:rPr>
        <w:t xml:space="preserve">2</w:t>
      </w:r>
      <w:r>
        <w:rPr>
          <w:rFonts w:ascii="Times New Roman" w:hAnsi="Times New Roman" w:cs="Times New Roman"/>
          <w:b/>
          <w:bCs/>
          <w:highlight w:val="white"/>
        </w:rPr>
        <w:t xml:space="preserve">5 года</w:t>
      </w:r>
      <w:r>
        <w:rPr>
          <w:rFonts w:ascii="Times New Roman" w:hAnsi="Times New Roman" w:cs="Times New Roman"/>
          <w:highlight w:val="white"/>
        </w:rPr>
        <w:t xml:space="preserve"> с 1</w:t>
      </w:r>
      <w:r>
        <w:rPr>
          <w:rFonts w:ascii="Times New Roman" w:hAnsi="Times New Roman" w:cs="Times New Roman"/>
          <w:highlight w:val="white"/>
        </w:rPr>
        <w:t xml:space="preserve">6</w:t>
      </w:r>
      <w:r>
        <w:rPr>
          <w:rFonts w:ascii="Times New Roman" w:hAnsi="Times New Roman" w:cs="Times New Roman"/>
          <w:highlight w:val="white"/>
        </w:rPr>
        <w:t xml:space="preserve"> часов </w:t>
      </w:r>
      <w:r>
        <w:rPr>
          <w:rFonts w:ascii="Times New Roman" w:hAnsi="Times New Roman" w:cs="Times New Roman"/>
          <w:highlight w:val="white"/>
        </w:rPr>
        <w:t xml:space="preserve">0</w:t>
      </w:r>
      <w:r>
        <w:rPr>
          <w:rFonts w:ascii="Times New Roman" w:hAnsi="Times New Roman" w:cs="Times New Roman"/>
          <w:highlight w:val="white"/>
        </w:rPr>
        <w:t xml:space="preserve">0 минут</w:t>
      </w:r>
      <w:r>
        <w:rPr>
          <w:rFonts w:ascii="Times New Roman" w:hAnsi="Times New Roman" w:cs="Times New Roman"/>
          <w:highlight w:val="white"/>
        </w:rPr>
        <w:t xml:space="preserve"> по московскому времени по адресу: город </w:t>
      </w:r>
      <w:r>
        <w:rPr>
          <w:rFonts w:ascii="Times New Roman" w:hAnsi="Times New Roman" w:cs="Times New Roman"/>
          <w:highlight w:val="white"/>
        </w:rPr>
        <w:t xml:space="preserve">Кострома, пло</w:t>
      </w:r>
      <w:r>
        <w:rPr>
          <w:rFonts w:ascii="Times New Roman" w:hAnsi="Times New Roman" w:cs="Times New Roman"/>
          <w:highlight w:val="white"/>
        </w:rPr>
        <w:t xml:space="preserve">щадь Конституции, 2 (кабинет 305</w:t>
      </w:r>
      <w:r>
        <w:rPr>
          <w:rFonts w:ascii="Times New Roman" w:hAnsi="Times New Roman" w:cs="Times New Roman"/>
          <w:highlight w:val="white"/>
        </w:rPr>
        <w:t xml:space="preserve">), аукцион</w:t>
      </w:r>
      <w:r>
        <w:rPr>
          <w:rFonts w:ascii="Times New Roman" w:hAnsi="Times New Roman" w:cs="Times New Roman"/>
          <w:highlight w:val="white"/>
        </w:rPr>
        <w:t xml:space="preserve">ов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по продаже</w:t>
      </w:r>
      <w:r>
        <w:rPr>
          <w:rFonts w:ascii="Times New Roman" w:hAnsi="Times New Roman" w:cs="Times New Roman"/>
          <w:highlight w:val="white"/>
        </w:rPr>
        <w:t xml:space="preserve"> земельных участков, расположенных н</w:t>
      </w:r>
      <w:r>
        <w:rPr>
          <w:rFonts w:ascii="Times New Roman" w:hAnsi="Times New Roman" w:cs="Times New Roman"/>
        </w:rPr>
        <w:t xml:space="preserve">а территории города Костромы, государственная собственность на которые не разграничена.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Организатор аукциона: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          (4942) 42-68-41, </w:t>
      </w:r>
      <w:r>
        <w:rPr>
          <w:rFonts w:ascii="Times New Roman" w:hAnsi="Times New Roman" w:cs="Times New Roman"/>
        </w:rPr>
        <w:t xml:space="preserve">44-07-64</w:t>
      </w:r>
      <w:r>
        <w:rPr>
          <w:rFonts w:ascii="Times New Roman" w:hAnsi="Times New Roman" w:cs="Times New Roman"/>
        </w:rPr>
        <w:t xml:space="preserve">; e-</w:t>
      </w:r>
      <w:r>
        <w:rPr>
          <w:rFonts w:ascii="Times New Roman" w:hAnsi="Times New Roman" w:cs="Times New Roman"/>
        </w:rPr>
        <w:t xml:space="preserve"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uizo</w:t>
      </w:r>
      <w:r>
        <w:rPr>
          <w:rFonts w:ascii="Times New Roman" w:hAnsi="Times New Roman" w:cs="Times New Roman"/>
        </w:rPr>
        <w:t xml:space="preserve">@</w:t>
      </w:r>
      <w:r>
        <w:rPr>
          <w:rFonts w:ascii="Times New Roman" w:hAnsi="Times New Roman" w:cs="Times New Roman"/>
        </w:rPr>
        <w:t xml:space="preserve">gradkostroma.ru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Аукцион </w:t>
      </w:r>
      <w:r>
        <w:rPr>
          <w:rFonts w:ascii="Times New Roman" w:hAnsi="Times New Roman" w:cs="Times New Roman"/>
        </w:rPr>
        <w:t xml:space="preserve">проводится в соответствии со статьями 39.11, 39.12 </w:t>
      </w:r>
      <w:r>
        <w:rPr>
          <w:rFonts w:ascii="Times New Roman" w:hAnsi="Times New Roman" w:cs="Times New Roman"/>
        </w:rPr>
        <w:t xml:space="preserve">Земельного кодекса Российской Федерации, на основании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7 июля 2022 года № 1376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расположенного по адресу</w:t>
      </w:r>
      <w:r>
        <w:rPr>
          <w:rFonts w:ascii="Times New Roman" w:hAnsi="Times New Roman" w:cs="Times New Roman"/>
        </w:rPr>
        <w:t xml:space="preserve">: Российская Федерация, Костромская область, городской округ город Кострома, город Кос</w:t>
      </w:r>
      <w:r>
        <w:rPr>
          <w:rFonts w:ascii="Times New Roman" w:hAnsi="Times New Roman" w:cs="Times New Roman"/>
        </w:rPr>
        <w:t xml:space="preserve">трома, деревня Скорбежки</w:t>
      </w:r>
      <w:r>
        <w:rPr>
          <w:rFonts w:ascii="Times New Roman" w:hAnsi="Times New Roman" w:cs="Times New Roman"/>
        </w:rPr>
        <w:t xml:space="preserve">, земельный участок 24»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29 октября 2021 года № 1923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расположенного по адресу</w:t>
      </w:r>
      <w:r>
        <w:rPr>
          <w:rFonts w:ascii="Times New Roman" w:hAnsi="Times New Roman" w:cs="Times New Roman"/>
        </w:rPr>
        <w:t xml:space="preserve">: Российская Федерация, Костромская область, городской округ город Кострома, город Кос</w:t>
      </w:r>
      <w:r>
        <w:rPr>
          <w:rFonts w:ascii="Times New Roman" w:hAnsi="Times New Roman" w:cs="Times New Roman"/>
        </w:rPr>
        <w:t xml:space="preserve">трома, улица Артиллерийская</w:t>
      </w:r>
      <w:r>
        <w:rPr>
          <w:rFonts w:ascii="Times New Roman" w:hAnsi="Times New Roman" w:cs="Times New Roman"/>
        </w:rPr>
        <w:t xml:space="preserve">, 13»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1290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Рыбное»,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1289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1298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Участниками аукциона являются граждане.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Характеристика предмета аукциона по лотам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деревня Скорбежки</w:t>
      </w:r>
      <w:r>
        <w:rPr>
          <w:rFonts w:ascii="Times New Roman" w:hAnsi="Times New Roman" w:cs="Times New Roman"/>
          <w:color w:val="000000"/>
        </w:rPr>
        <w:t xml:space="preserve">, земельный участок 24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678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44:27:000000:1</w:t>
      </w:r>
      <w:r>
        <w:rPr>
          <w:rFonts w:ascii="Times New Roman" w:hAnsi="Times New Roman" w:cs="Times New Roman"/>
          <w:color w:val="000000"/>
        </w:rPr>
        <w:t xml:space="preserve">6848;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</w:t>
      </w:r>
      <w:r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</w:t>
      </w:r>
      <w:r>
        <w:rPr>
          <w:rFonts w:ascii="Times New Roman" w:hAnsi="Times New Roman" w:cs="Times New Roman"/>
          <w:color w:val="000000"/>
          <w:highlight w:val="white"/>
        </w:rPr>
        <w:t xml:space="preserve">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  <w:highlight w:val="white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  <w:highlight w:val="white"/>
        </w:rPr>
        <w:t xml:space="preserve">» от </w:t>
      </w:r>
      <w:r>
        <w:rPr>
          <w:rFonts w:ascii="Times New Roman" w:hAnsi="Times New Roman" w:cs="Times New Roman"/>
          <w:color w:val="000000"/>
          <w:highlight w:val="white"/>
        </w:rPr>
        <w:t xml:space="preserve">17.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</w:t>
      </w:r>
      <w:r>
        <w:rPr>
          <w:rFonts w:ascii="Times New Roman" w:hAnsi="Times New Roman" w:cs="Times New Roman"/>
          <w:color w:val="000000"/>
          <w:highlight w:val="white"/>
        </w:rPr>
        <w:t xml:space="preserve">исх.02.11/7352</w:t>
      </w:r>
      <w:r>
        <w:rPr>
          <w:rFonts w:ascii="Times New Roman" w:hAnsi="Times New Roman" w:cs="Times New Roman"/>
          <w:color w:val="000000"/>
          <w:highlight w:val="white"/>
        </w:rPr>
        <w:t xml:space="preserve">д</w:t>
      </w:r>
      <w:r>
        <w:rPr>
          <w:rFonts w:ascii="Times New Roman" w:hAnsi="Times New Roman" w:cs="Times New Roman"/>
          <w:color w:val="000000"/>
          <w:highlight w:val="white"/>
        </w:rPr>
        <w:t xml:space="preserve">, от 16.10.2024 № исх.02.11/7329</w:t>
      </w:r>
      <w:r>
        <w:rPr>
          <w:rFonts w:ascii="Times New Roman" w:hAnsi="Times New Roman" w:cs="Times New Roman"/>
          <w:color w:val="000000"/>
          <w:highlight w:val="white"/>
        </w:rPr>
        <w:t xml:space="preserve">д</w:t>
      </w:r>
      <w:r>
        <w:rPr>
          <w:rFonts w:ascii="Times New Roman" w:hAnsi="Times New Roman" w:cs="Times New Roman"/>
          <w:color w:val="000000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highlight w:val="white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cs="Times New Roman"/>
          <w:color w:val="000000"/>
          <w:highlight w:val="white"/>
        </w:rPr>
        <w:t xml:space="preserve">14.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 ИС-15/</w:t>
      </w:r>
      <w:r>
        <w:rPr>
          <w:rFonts w:ascii="Times New Roman" w:hAnsi="Times New Roman" w:cs="Times New Roman"/>
          <w:color w:val="000000"/>
          <w:highlight w:val="white"/>
        </w:rPr>
        <w:t xml:space="preserve">5822; теплоснабжение от ПАО «ТГК-2» от </w:t>
      </w:r>
      <w:r>
        <w:rPr>
          <w:rFonts w:ascii="Times New Roman" w:hAnsi="Times New Roman" w:cs="Times New Roman"/>
          <w:color w:val="000000"/>
          <w:highlight w:val="white"/>
        </w:rPr>
        <w:t xml:space="preserve">16.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 Исх4201/</w:t>
      </w:r>
      <w:r>
        <w:rPr>
          <w:rFonts w:ascii="Times New Roman" w:hAnsi="Times New Roman" w:cs="Times New Roman"/>
          <w:color w:val="000000"/>
          <w:highlight w:val="white"/>
        </w:rPr>
        <w:t xml:space="preserve">1</w:t>
      </w:r>
      <w:r>
        <w:rPr>
          <w:rFonts w:ascii="Times New Roman" w:hAnsi="Times New Roman" w:cs="Times New Roman"/>
          <w:color w:val="000000"/>
          <w:highlight w:val="white"/>
        </w:rPr>
        <w:t xml:space="preserve">392-2024; от МУП г. Костромы «Городские сети» от 17.10.2024 № 13-01/04594;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1 192</w:t>
      </w:r>
      <w:r>
        <w:rPr>
          <w:rFonts w:ascii="Times New Roman" w:hAnsi="Times New Roman" w:cs="Times New Roman"/>
          <w:color w:val="000000"/>
        </w:rPr>
        <w:t xml:space="preserve"> 000</w:t>
      </w:r>
      <w:r>
        <w:rPr>
          <w:rFonts w:ascii="Times New Roman" w:hAnsi="Times New Roman" w:cs="Times New Roman"/>
          <w:color w:val="000000"/>
        </w:rPr>
        <w:t xml:space="preserve"> (Один миллион </w:t>
      </w:r>
      <w:r>
        <w:rPr>
          <w:rFonts w:ascii="Times New Roman" w:hAnsi="Times New Roman" w:cs="Times New Roman"/>
          <w:color w:val="000000"/>
        </w:rPr>
        <w:t xml:space="preserve">сто девяносто две тысячи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35 700</w:t>
      </w:r>
      <w:r>
        <w:rPr>
          <w:rFonts w:ascii="Times New Roman" w:hAnsi="Times New Roman" w:cs="Times New Roman"/>
          <w:color w:val="000000"/>
        </w:rPr>
        <w:t xml:space="preserve"> (Тридцать пять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семьсот)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298 000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Двести девяносто восемь тысяч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Артиллерийская</w:t>
      </w:r>
      <w:r>
        <w:rPr>
          <w:rFonts w:ascii="Times New Roman" w:hAnsi="Times New Roman" w:cs="Times New Roman"/>
          <w:color w:val="000000"/>
        </w:rPr>
        <w:t xml:space="preserve">, 13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812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44:27:020301:</w:t>
      </w:r>
      <w:r>
        <w:rPr>
          <w:rFonts w:ascii="Times New Roman" w:hAnsi="Times New Roman" w:cs="Times New Roman"/>
          <w:color w:val="000000"/>
        </w:rPr>
        <w:t xml:space="preserve">341;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</w:t>
      </w:r>
      <w:r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</w:t>
      </w:r>
      <w:r>
        <w:rPr>
          <w:rFonts w:ascii="Times New Roman" w:hAnsi="Times New Roman" w:cs="Times New Roman"/>
          <w:color w:val="000000"/>
          <w:highlight w:val="white"/>
        </w:rPr>
        <w:t xml:space="preserve">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  <w:highlight w:val="white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  <w:highlight w:val="white"/>
        </w:rPr>
        <w:t xml:space="preserve">» от </w:t>
      </w:r>
      <w:r>
        <w:rPr>
          <w:rFonts w:ascii="Times New Roman" w:hAnsi="Times New Roman" w:cs="Times New Roman"/>
          <w:color w:val="000000"/>
          <w:highlight w:val="white"/>
        </w:rPr>
        <w:t xml:space="preserve">24.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</w:t>
        <w:br/>
        <w:t xml:space="preserve">№ исх.02.11/7525</w:t>
      </w:r>
      <w:r>
        <w:rPr>
          <w:rFonts w:ascii="Times New Roman" w:hAnsi="Times New Roman" w:cs="Times New Roman"/>
          <w:color w:val="000000"/>
          <w:highlight w:val="white"/>
        </w:rPr>
        <w:t xml:space="preserve">д</w:t>
      </w:r>
      <w:r>
        <w:rPr>
          <w:rFonts w:ascii="Times New Roman" w:hAnsi="Times New Roman" w:cs="Times New Roman"/>
          <w:color w:val="000000"/>
          <w:highlight w:val="white"/>
        </w:rPr>
        <w:t xml:space="preserve">, от 23.10.2024 № исх.02.11/7500д, </w:t>
      </w:r>
      <w:r>
        <w:rPr>
          <w:rFonts w:ascii="Times New Roman" w:hAnsi="Times New Roman" w:cs="Times New Roman"/>
          <w:color w:val="000000"/>
          <w:highlight w:val="white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cs="Times New Roman"/>
          <w:color w:val="000000"/>
          <w:highlight w:val="white"/>
        </w:rPr>
        <w:t xml:space="preserve">18.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 ИС-15/</w:t>
      </w:r>
      <w:r>
        <w:rPr>
          <w:rFonts w:ascii="Times New Roman" w:hAnsi="Times New Roman" w:cs="Times New Roman"/>
          <w:color w:val="000000"/>
          <w:highlight w:val="white"/>
        </w:rPr>
        <w:t xml:space="preserve">5913; теплоснабжение от ПАО «ТГК-2» от </w:t>
      </w:r>
      <w:r>
        <w:rPr>
          <w:rFonts w:ascii="Times New Roman" w:hAnsi="Times New Roman" w:cs="Times New Roman"/>
          <w:color w:val="000000"/>
          <w:highlight w:val="white"/>
        </w:rPr>
        <w:t xml:space="preserve">24.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 Исх4201/</w:t>
      </w:r>
      <w:r>
        <w:rPr>
          <w:rFonts w:ascii="Times New Roman" w:hAnsi="Times New Roman" w:cs="Times New Roman"/>
          <w:color w:val="000000"/>
          <w:highlight w:val="white"/>
        </w:rPr>
        <w:t xml:space="preserve">1</w:t>
      </w:r>
      <w:r>
        <w:rPr>
          <w:rFonts w:ascii="Times New Roman" w:hAnsi="Times New Roman" w:cs="Times New Roman"/>
          <w:color w:val="000000"/>
          <w:highlight w:val="white"/>
        </w:rPr>
        <w:t xml:space="preserve">457-2024; от МУП г. Костромы «Городские сети» от 23.10.2024 № 13-01/04746;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2 615 000</w:t>
      </w:r>
      <w:r>
        <w:rPr>
          <w:rFonts w:ascii="Times New Roman" w:hAnsi="Times New Roman" w:cs="Times New Roman"/>
          <w:color w:val="000000"/>
        </w:rPr>
        <w:t xml:space="preserve"> (Два  миллиона </w:t>
      </w:r>
      <w:r>
        <w:rPr>
          <w:rFonts w:ascii="Times New Roman" w:hAnsi="Times New Roman" w:cs="Times New Roman"/>
          <w:color w:val="000000"/>
        </w:rPr>
        <w:t xml:space="preserve">шестьсот пятнадцать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78 400</w:t>
      </w:r>
      <w:r>
        <w:rPr>
          <w:rFonts w:ascii="Times New Roman" w:hAnsi="Times New Roman" w:cs="Times New Roman"/>
          <w:color w:val="000000"/>
        </w:rPr>
        <w:t xml:space="preserve"> (Семьдесят восемь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четыреста)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653 750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Шестьсот пятьдесят три тысячи семьсот пятьдесят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3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проезд Лазурный</w:t>
      </w:r>
      <w:r>
        <w:rPr>
          <w:rFonts w:ascii="Times New Roman" w:hAnsi="Times New Roman" w:cs="Times New Roman"/>
          <w:color w:val="000000"/>
        </w:rPr>
        <w:t xml:space="preserve">, 4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1449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44:27:090214:171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исх.02.11/7025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7089д;</w:t>
      </w:r>
      <w:r>
        <w:rPr>
          <w:rFonts w:ascii="Times New Roman" w:hAnsi="Times New Roman" w:cs="Times New Roman"/>
          <w:color w:val="000000"/>
        </w:rPr>
        <w:t xml:space="preserve"> газоснабжение от </w:t>
      </w:r>
      <w:r>
        <w:rPr>
          <w:rFonts w:ascii="Times New Roman" w:hAnsi="Times New Roman" w:cs="Times New Roman"/>
          <w:color w:val="000000"/>
        </w:rPr>
        <w:t xml:space="preserve">ООО «Газпром газораспределение Кострома»</w:t>
      </w:r>
      <w:r>
        <w:rPr>
          <w:rFonts w:ascii="Times New Roman" w:hAnsi="Times New Roman" w:cs="Times New Roman"/>
          <w:color w:val="000000"/>
        </w:rPr>
        <w:t xml:space="preserve"> от </w:t>
      </w:r>
      <w:r>
        <w:rPr>
          <w:rFonts w:ascii="Times New Roman" w:hAnsi="Times New Roman" w:cs="Times New Roman"/>
          <w:color w:val="000000"/>
        </w:rPr>
        <w:t xml:space="preserve">08.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5702;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14.10.2024 № 13-01/04517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2 539 000 (Два миллиона пятьсот тридцать девять</w:t>
      </w:r>
      <w:r>
        <w:rPr>
          <w:rFonts w:ascii="Times New Roman" w:hAnsi="Times New Roman" w:cs="Times New Roman"/>
          <w:color w:val="000000"/>
        </w:rPr>
        <w:t xml:space="preserve">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76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170 (Семьдесят шесть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сто семьдесят)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634 750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Шестьсот тридцать четыре тысячи семьсот пятьдесят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4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проезд Лазурный</w:t>
      </w:r>
      <w:r>
        <w:rPr>
          <w:rFonts w:ascii="Times New Roman" w:hAnsi="Times New Roman" w:cs="Times New Roman"/>
          <w:color w:val="000000"/>
        </w:rPr>
        <w:t xml:space="preserve">, 2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1274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44:27:090214:174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исх.02.11/7088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7026д;</w:t>
      </w:r>
      <w:r>
        <w:rPr>
          <w:rFonts w:ascii="Times New Roman" w:hAnsi="Times New Roman" w:cs="Times New Roman"/>
          <w:color w:val="000000"/>
        </w:rPr>
        <w:t xml:space="preserve"> газоснабжение от </w:t>
      </w:r>
      <w:r>
        <w:rPr>
          <w:rFonts w:ascii="Times New Roman" w:hAnsi="Times New Roman" w:cs="Times New Roman"/>
          <w:color w:val="000000"/>
        </w:rPr>
        <w:t xml:space="preserve">ООО «Газпром газораспределение Кострома»</w:t>
      </w:r>
      <w:r>
        <w:rPr>
          <w:rFonts w:ascii="Times New Roman" w:hAnsi="Times New Roman" w:cs="Times New Roman"/>
          <w:color w:val="000000"/>
        </w:rPr>
        <w:t xml:space="preserve"> от </w:t>
      </w:r>
      <w:r>
        <w:rPr>
          <w:rFonts w:ascii="Times New Roman" w:hAnsi="Times New Roman" w:cs="Times New Roman"/>
          <w:color w:val="000000"/>
        </w:rPr>
        <w:t xml:space="preserve">08.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5701;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11.10.2024 № 13-01/04495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2 232 000 (Два миллиона </w:t>
      </w:r>
      <w:r>
        <w:rPr>
          <w:rFonts w:ascii="Times New Roman" w:hAnsi="Times New Roman" w:cs="Times New Roman"/>
          <w:color w:val="000000"/>
        </w:rPr>
        <w:t xml:space="preserve">двести тридцать две тысячи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66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900 (Шестьдесят шесть</w:t>
      </w:r>
      <w:r>
        <w:rPr>
          <w:rFonts w:ascii="Times New Roman" w:hAnsi="Times New Roman" w:cs="Times New Roman"/>
          <w:color w:val="000000"/>
        </w:rPr>
        <w:t xml:space="preserve"> тысяч девятьсот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558 000</w:t>
      </w:r>
      <w:r>
        <w:rPr>
          <w:rFonts w:ascii="Times New Roman" w:hAnsi="Times New Roman" w:cs="Times New Roman"/>
          <w:color w:val="000000"/>
        </w:rPr>
        <w:t xml:space="preserve"> (Пятьсот пятьдесят восемь</w:t>
      </w:r>
      <w:r>
        <w:rPr>
          <w:rFonts w:ascii="Times New Roman" w:hAnsi="Times New Roman" w:cs="Times New Roman"/>
          <w:color w:val="000000"/>
        </w:rPr>
        <w:t xml:space="preserve"> тысяч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5</w:t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20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1495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44:27:090214:158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исх.02.11/709</w:t>
      </w:r>
      <w:r>
        <w:rPr>
          <w:rFonts w:ascii="Times New Roman" w:hAnsi="Times New Roman" w:cs="Times New Roman"/>
          <w:color w:val="000000"/>
        </w:rPr>
        <w:t xml:space="preserve">6д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7029д;</w:t>
      </w:r>
      <w:r>
        <w:rPr>
          <w:rFonts w:ascii="Times New Roman" w:hAnsi="Times New Roman" w:cs="Times New Roman"/>
          <w:color w:val="000000"/>
        </w:rPr>
        <w:t xml:space="preserve"> газоснабжение от </w:t>
      </w:r>
      <w:r>
        <w:rPr>
          <w:rFonts w:ascii="Times New Roman" w:hAnsi="Times New Roman" w:cs="Times New Roman"/>
          <w:color w:val="000000"/>
        </w:rPr>
        <w:t xml:space="preserve">ООО «Газпром газораспределение Кострома»</w:t>
      </w:r>
      <w:r>
        <w:rPr>
          <w:rFonts w:ascii="Times New Roman" w:hAnsi="Times New Roman" w:cs="Times New Roman"/>
          <w:color w:val="000000"/>
        </w:rPr>
        <w:t xml:space="preserve"> от </w:t>
      </w:r>
      <w:r>
        <w:rPr>
          <w:rFonts w:ascii="Times New Roman" w:hAnsi="Times New Roman" w:cs="Times New Roman"/>
          <w:color w:val="000000"/>
        </w:rPr>
        <w:t xml:space="preserve">08.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5700;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11.10.2024 № 13-01/04496;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2 619 000 (Два миллиона</w:t>
      </w:r>
      <w:r>
        <w:rPr>
          <w:rFonts w:ascii="Times New Roman" w:hAnsi="Times New Roman" w:cs="Times New Roman"/>
          <w:color w:val="000000"/>
        </w:rPr>
        <w:t xml:space="preserve"> шестьсот девятнадцать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500 (Семьдесят восемь</w:t>
      </w:r>
      <w:r>
        <w:rPr>
          <w:rFonts w:ascii="Times New Roman" w:hAnsi="Times New Roman" w:cs="Times New Roman"/>
          <w:color w:val="000000"/>
        </w:rPr>
        <w:t xml:space="preserve"> тысяч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пятьсот)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654 750 (</w:t>
      </w:r>
      <w:r>
        <w:rPr>
          <w:rFonts w:ascii="Times New Roman" w:hAnsi="Times New Roman" w:cs="Times New Roman"/>
          <w:color w:val="000000"/>
        </w:rPr>
        <w:t xml:space="preserve">Шестьсот пятьдесят четыре</w:t>
      </w:r>
      <w:r>
        <w:rPr>
          <w:rFonts w:ascii="Times New Roman" w:hAnsi="Times New Roman" w:cs="Times New Roman"/>
          <w:color w:val="000000"/>
        </w:rPr>
        <w:t xml:space="preserve"> тысячи семьсот пятьдесят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Критерий определения победителя аукциона: наибольшая цена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</w:rPr>
        <w:t xml:space="preserve">Организатор </w:t>
      </w:r>
      <w:r>
        <w:rPr>
          <w:rFonts w:ascii="Times New Roman" w:hAnsi="Times New Roman" w:cs="Times New Roman"/>
          <w:color w:val="00000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проведении аукциона и возвратить его участникам внесенные задатки.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hAnsi="Times New Roman" w:cs="Times New Roman"/>
          <w:b/>
          <w:color w:val="000000"/>
        </w:rPr>
        <w:t xml:space="preserve">Порядок внесения и возврата задатков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вносится до подачи заявки по следующим реквизитам: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Получатель: </w:t>
      </w:r>
      <w:r>
        <w:rPr>
          <w:rFonts w:ascii="Times New Roman" w:hAnsi="Times New Roman" w:cs="Times New Roman"/>
          <w:color w:val="000000"/>
        </w:rPr>
        <w:t xml:space="preserve">Управление финансов Администрации города Костромы (Управление имущественных и земельных отношений Администрации города Костромы л/с 966010018); ИНН 4401006568, КПП 440101001; </w:t>
      </w:r>
      <w:r>
        <w:rPr>
          <w:rFonts w:ascii="Times New Roman" w:hAnsi="Times New Roman" w:cs="Times New Roman"/>
          <w:color w:val="000000"/>
        </w:rPr>
        <w:t xml:space="preserve">единый казначейский счет 40102810945370000034, банк получателя ОТДЕЛЕНИЕ КОСТРОМА БАНКА РОССИИ//УФК ПО КОСТРОМСКОЙ ОБЛАСТИ г. Кострома, БИК 013469126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номер казначейского счета 03232643347010004100,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ОКТМО </w:t>
      </w:r>
      <w:r>
        <w:rPr>
          <w:rFonts w:ascii="Times New Roman" w:hAnsi="Times New Roman" w:cs="Times New Roman"/>
          <w:color w:val="000000" w:themeColor="text1"/>
        </w:rPr>
        <w:t xml:space="preserve">34701000, КБК 0, назначение платежа: «задаток за участие в аукционе по продаже земельного участка по адресу: </w:t>
      </w:r>
      <w:r>
        <w:rPr>
          <w:rFonts w:ascii="Times New Roman" w:hAnsi="Times New Roman" w:cs="Times New Roman"/>
          <w:color w:val="000000" w:themeColor="text1"/>
        </w:rPr>
        <w:t xml:space="preserve">«</w:t>
      </w:r>
      <w:r>
        <w:rPr>
          <w:rFonts w:ascii="Times New Roman" w:hAnsi="Times New Roman" w:cs="Times New Roman"/>
          <w:color w:val="000000" w:themeColor="text1"/>
        </w:rPr>
        <w:t xml:space="preserve">___». В назначении </w:t>
      </w:r>
      <w:r>
        <w:rPr>
          <w:rFonts w:ascii="Times New Roman" w:hAnsi="Times New Roman" w:cs="Times New Roman"/>
          <w:color w:val="000000"/>
        </w:rPr>
        <w:t xml:space="preserve">платежа должно быть указано местоположение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должен поступить на лицевой счет организатора аукциона не позднее </w:t>
      </w:r>
      <w:r>
        <w:rPr>
          <w:rFonts w:ascii="Times New Roman" w:hAnsi="Times New Roman" w:cs="Times New Roman"/>
          <w:b/>
          <w:bCs/>
          <w:color w:val="000000"/>
        </w:rPr>
        <w:t xml:space="preserve">2 апреля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202</w:t>
      </w:r>
      <w:r>
        <w:rPr>
          <w:rFonts w:ascii="Times New Roman" w:hAnsi="Times New Roman" w:cs="Times New Roman"/>
          <w:b/>
          <w:bCs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. Документом, подтверждающим поступление задатка, является выписка из лицевого счета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засчитываются в оплату приобретаемого земельного участка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победителем аукциона,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единственным участником аукциона, с которым договор купли-продажи заключается в соответствии с пунктами 13, 14 статьи 39.12 Земельного кодекса Российской Федерации,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задаток внесен лицом, признанным участником аукциона, и данное лицо является единственным принявшим участие в аукционе участником, с которым договор купли-продажи заключается в соответствии с пунктом 20 статьи 39.12 Земельного кодекса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Задатки, внесенные этими лицами, не заключившими в установленном порядке договора купли-продажи земельных участков вследствие уклонения от заключения указанных договоров, не возвращаются.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обязан возвратить внесенный претендентом задаток: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оформления протокола приема заявок на участие в аукционе в случае, если претендент не допущен к участию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подписания протокола о результатах аукциона лицам, участвовавшим в аукционе, но не победившим в нем;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регистрации отзыва заявки в журнале приема заявок в случае отзыва претендентом заявки на участие в аукционе до признания его участником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</w:t>
      </w:r>
      <w:r>
        <w:rPr>
          <w:rFonts w:ascii="Times New Roman" w:hAnsi="Times New Roman" w:cs="Times New Roman"/>
          <w:b/>
          <w:color w:val="000000"/>
        </w:rPr>
        <w:t xml:space="preserve">Порядок приема заявок.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b/>
          <w:bCs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Для участия в аукционе претендент представляет организатору аукциона (лично или через своего представителя) заявку на участие в аукционе по форме, приведенной в приложении 1, начиная 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21 </w:t>
      </w:r>
      <w:r>
        <w:rPr>
          <w:rFonts w:ascii="Times New Roman" w:hAnsi="Times New Roman" w:cs="Times New Roman"/>
          <w:b/>
          <w:bCs/>
          <w:color w:val="000000"/>
        </w:rPr>
        <w:t xml:space="preserve">февраля 20</w:t>
      </w:r>
      <w:r>
        <w:rPr>
          <w:rFonts w:ascii="Times New Roman" w:hAnsi="Times New Roman" w:cs="Times New Roman"/>
          <w:b/>
          <w:bCs/>
          <w:color w:val="000000"/>
        </w:rPr>
        <w:t xml:space="preserve">25 года</w:t>
      </w:r>
      <w:r>
        <w:rPr>
          <w:rFonts w:ascii="Times New Roman" w:hAnsi="Times New Roman" w:cs="Times New Roman"/>
          <w:color w:val="000000"/>
        </w:rPr>
        <w:t xml:space="preserve"> любым удобным способом в соответствии с действующим законодательством Российской Федерации по адресу: 156005, Костромская область, город Кострома, площадь Конституции, дом 2, по адресу электронной почты uizo@gradkostroma.ru. Реж</w:t>
      </w:r>
      <w:r>
        <w:rPr>
          <w:rFonts w:ascii="Times New Roman" w:hAnsi="Times New Roman" w:cs="Times New Roman"/>
          <w:color w:val="000000"/>
        </w:rPr>
        <w:t xml:space="preserve">им</w:t>
      </w:r>
      <w:r>
        <w:rPr>
          <w:rFonts w:ascii="Times New Roman" w:hAnsi="Times New Roman" w:cs="Times New Roman"/>
          <w:color w:val="000000"/>
        </w:rPr>
        <w:t xml:space="preserve"> работы Управления имущественных и земельных отношений Администрации города Костромы: рабочие дни с 09 часов 00 минут до 13 часов 00 минут и с 14 часов 00 минут до 18 часов 00 минут по московскому времени. Приём заявок на участие в аукционе прекращается </w:t>
      </w:r>
      <w:r>
        <w:rPr>
          <w:rFonts w:ascii="Times New Roman" w:hAnsi="Times New Roman" w:cs="Times New Roman"/>
          <w:b/>
          <w:bCs/>
          <w:color w:val="000000"/>
        </w:rPr>
        <w:t xml:space="preserve">31 марта</w:t>
      </w:r>
      <w:r>
        <w:rPr>
          <w:rFonts w:ascii="Times New Roman" w:hAnsi="Times New Roman" w:cs="Times New Roman"/>
          <w:b/>
          <w:bCs/>
          <w:color w:val="000000"/>
        </w:rPr>
        <w:t xml:space="preserve"> 2</w:t>
      </w:r>
      <w:r>
        <w:rPr>
          <w:rFonts w:ascii="Times New Roman" w:hAnsi="Times New Roman" w:cs="Times New Roman"/>
          <w:b/>
          <w:bCs/>
          <w:color w:val="000000"/>
        </w:rPr>
        <w:t xml:space="preserve">02</w:t>
      </w:r>
      <w:r>
        <w:rPr>
          <w:rFonts w:ascii="Times New Roman" w:hAnsi="Times New Roman" w:cs="Times New Roman"/>
          <w:b/>
          <w:bCs/>
          <w:color w:val="000000"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 в 18 часов 00 минут по московскому времени. </w:t>
      </w:r>
      <w:r/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Получить более подробную информацию по телефонам: +7 (4942) 44-07-64, 42-68-41, по адресу: 156005, Костромская область, город Кострома, площадь Конституции, 2, по адресу электронной почты uizo@gradkostroma.ru.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составляется в 2 экземплярах, один из которых остается у организатора аукциона, другой - у претендента. К заявке на участие прилагаются следующие документы: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платежный документ с отметкой банка об исполнении, подтверждающий внесение задатка.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может подать заявление о получении муниципальной услуги в электронной форме с использованием РПГУ (при наличии технической возможности).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</w:t>
      </w:r>
      <w:r>
        <w:rPr>
          <w:rFonts w:ascii="Times New Roman" w:hAnsi="Times New Roman" w:cs="Times New Roman"/>
          <w:color w:val="000000"/>
        </w:rPr>
        <w:t xml:space="preserve"> соответствии со статьей 6 Федерального закона от 6 апреля 2011 года № 63-ФЗ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</w:t>
      </w:r>
      <w:r>
        <w:rPr>
          <w:rFonts w:ascii="Times New Roman" w:hAnsi="Times New Roman" w:cs="Times New Roman"/>
          <w:color w:val="000000"/>
        </w:rPr>
        <w:t xml:space="preserve">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в форме электронного документа подписывается по выбору заявителя (если заявителем является физическое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электронной подписью заявителя (представителя заявителя);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усиленной квалифицированной электронной подписью заявителя (представителя заявителя).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лица, действующего от имени юридического лица без доверенности;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</w:t>
      </w:r>
      <w:r>
        <w:rPr>
          <w:rFonts w:ascii="Times New Roman" w:hAnsi="Times New Roman" w:cs="Times New Roman"/>
          <w:color w:val="000000"/>
        </w:rPr>
        <w:t xml:space="preserve">ектронной подписью в соответствии с требованиями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 каждый лот один претендент имеет право подать только одну заявку на участие в аукционе.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</w:t>
      </w:r>
      <w:r>
        <w:rPr>
          <w:rFonts w:ascii="Times New Roman" w:hAnsi="Times New Roman" w:cs="Times New Roman"/>
          <w:b/>
          <w:color w:val="000000"/>
        </w:rPr>
        <w:t xml:space="preserve">Порядок и срок отзыва заявок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</w:t>
      </w:r>
      <w:r>
        <w:rPr>
          <w:rFonts w:ascii="Times New Roman" w:hAnsi="Times New Roman" w:cs="Times New Roman"/>
          <w:b/>
          <w:color w:val="000000"/>
        </w:rPr>
        <w:t xml:space="preserve">Порядок определения участников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Заявки на участие в аукционе рассматриваются организатором аукциона с участием членов аукционной комиссии </w:t>
      </w:r>
      <w:r>
        <w:rPr>
          <w:rFonts w:ascii="Times New Roman" w:hAnsi="Times New Roman" w:cs="Times New Roman"/>
          <w:b/>
          <w:bCs/>
          <w:color w:val="000000"/>
        </w:rPr>
        <w:t xml:space="preserve">2 апреля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5 года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305</w:t>
      </w:r>
      <w:r>
        <w:rPr>
          <w:rFonts w:ascii="Times New Roman" w:hAnsi="Times New Roman" w:cs="Times New Roman"/>
          <w:color w:val="000000"/>
        </w:rPr>
        <w:t xml:space="preserve">). На основании результатов рассмотрения заявок на участие в аукционе организатором аукциона в присутствии членов аукционной комиссии принимается одно из следующих решений: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 допуске к участию в аукционе заявителя и о признании заявителя участником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об отказе заявителю в допуске к участию в аукционе,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которые оформляются протоколом рассмотрения заявок на участие в аукционе. Протокол должен соде</w:t>
      </w:r>
      <w:r>
        <w:rPr>
          <w:rFonts w:ascii="Times New Roman" w:hAnsi="Times New Roman" w:cs="Times New Roman"/>
          <w:color w:val="000000"/>
        </w:rPr>
        <w:t xml:space="preserve">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непоступление</w:t>
      </w:r>
      <w:r>
        <w:rPr>
          <w:rFonts w:ascii="Times New Roman" w:hAnsi="Times New Roman" w:cs="Times New Roman"/>
          <w:color w:val="000000"/>
        </w:rPr>
        <w:t xml:space="preserve"> задатка на дату рассмотрения заявок на участие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наличие свед</w:t>
      </w:r>
      <w:r>
        <w:rPr>
          <w:rFonts w:ascii="Times New Roman" w:hAnsi="Times New Roman" w:cs="Times New Roman"/>
          <w:color w:val="000000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Заявителям, признанным участниками аукциона,</w:t>
      </w:r>
      <w:r>
        <w:rPr>
          <w:rFonts w:ascii="Times New Roman" w:hAnsi="Times New Roman" w:cs="Times New Roman"/>
          <w:color w:val="000000"/>
        </w:rPr>
        <w:t xml:space="preserve"> и заявителям, не допущенным к участию в аукционе, организатор аукциона направляет или вручает под расписку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рассмотрения заявок на участие</w:t>
      </w:r>
      <w:r>
        <w:rPr>
          <w:rFonts w:ascii="Times New Roman" w:hAnsi="Times New Roman" w:cs="Times New Roman"/>
          <w:color w:val="000000"/>
        </w:rPr>
        <w:t xml:space="preserve">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одновременно с протоколом о результатах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</w:t>
      </w:r>
      <w:r>
        <w:rPr>
          <w:rFonts w:ascii="Times New Roman" w:hAnsi="Times New Roman" w:cs="Times New Roman"/>
          <w:b/>
          <w:color w:val="000000"/>
        </w:rPr>
        <w:t xml:space="preserve">Порядок проведения аукциона и определения победителя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right="-56" w:firstLine="851"/>
        <w:tabs>
          <w:tab w:val="left" w:pos="9900" w:leader="none"/>
        </w:tabs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организатором аукциона в присутствии членов аукционной комиссии и участников </w:t>
      </w:r>
      <w:r>
        <w:rPr>
          <w:rFonts w:ascii="Times New Roman" w:hAnsi="Times New Roman" w:cs="Times New Roman"/>
          <w:color w:val="000000"/>
        </w:rPr>
        <w:t xml:space="preserve">аукциона (их представителей) </w:t>
      </w:r>
      <w:r>
        <w:rPr>
          <w:rFonts w:ascii="Times New Roman" w:hAnsi="Times New Roman" w:cs="Times New Roman"/>
          <w:b/>
          <w:bCs/>
          <w:color w:val="000000"/>
        </w:rPr>
        <w:t xml:space="preserve">2 апреля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5</w:t>
      </w:r>
      <w:r>
        <w:rPr>
          <w:rFonts w:ascii="Times New Roman" w:hAnsi="Times New Roman" w:cs="Times New Roman"/>
          <w:b/>
          <w:bCs/>
          <w:color w:val="000000"/>
        </w:rPr>
        <w:t xml:space="preserve"> года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305</w:t>
      </w:r>
      <w:r>
        <w:rPr>
          <w:rFonts w:ascii="Times New Roman" w:hAnsi="Times New Roman" w:cs="Times New Roman"/>
          <w:color w:val="000000"/>
        </w:rPr>
        <w:t xml:space="preserve">). В аукционе могут участвовать только претенденты, признанные участниками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ведет аукционист.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организатор аукциона перед началом</w:t>
      </w:r>
      <w:r>
        <w:rPr>
          <w:rFonts w:ascii="Times New Roman" w:hAnsi="Times New Roman" w:cs="Times New Roman"/>
          <w:color w:val="000000"/>
        </w:rPr>
        <w:t xml:space="preserve"> аукциона в отношении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билеты (далее - билеты);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в следующем порядке: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а) аукц</w:t>
      </w:r>
      <w:r>
        <w:rPr>
          <w:rFonts w:ascii="Times New Roman" w:hAnsi="Times New Roman" w:cs="Times New Roman"/>
          <w:color w:val="000000"/>
        </w:rPr>
        <w:t xml:space="preserve">ион начинается с оглашения аукционистом начала проведения аукциона, номера лота (в случае проведения аукциона по нескольким лотам), наименования земельного участка, его основных характеристик и начальной цены, "шага аукциона" и порядка проведения аукциона.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б) </w:t>
      </w:r>
      <w:r>
        <w:rPr>
          <w:rFonts w:ascii="Times New Roman" w:hAnsi="Times New Roman" w:cs="Times New Roman"/>
          <w:color w:val="000000"/>
        </w:rPr>
        <w:t xml:space="preserve">участникам аукциона выдаются пронумерованные билеты, которые они поднимают после оглашения аукционистом начальной цены земельного участка и каждой очередной цены в случае, если готовы купить земельный участок в соответствии с этой ценой;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в) </w:t>
      </w:r>
      <w:r>
        <w:rPr>
          <w:rFonts w:ascii="Times New Roman" w:hAnsi="Times New Roman" w:cs="Times New Roman"/>
          <w:color w:val="000000"/>
        </w:rPr>
        <w:t xml:space="preserve">участники аукциона после оглашения аукционистом начальной цены земельного участка и каждой очередной цены поднимают билеты в случае, если готовы купить земельный учас</w:t>
      </w:r>
      <w:r>
        <w:rPr>
          <w:rFonts w:ascii="Times New Roman" w:hAnsi="Times New Roman" w:cs="Times New Roman"/>
          <w:color w:val="000000"/>
        </w:rPr>
        <w:t xml:space="preserve">ток в соответствии с этой ценой. У</w:t>
      </w:r>
      <w:r>
        <w:rPr>
          <w:rFonts w:ascii="Times New Roman" w:hAnsi="Times New Roman" w:cs="Times New Roman"/>
          <w:color w:val="000000"/>
        </w:rPr>
        <w:t xml:space="preserve">частник аукциона не вправе подать предложение о цене предмета аукциона в случае, если текущее максимальное предложение о цене предмета аукциона п</w:t>
      </w:r>
      <w:r>
        <w:rPr>
          <w:rFonts w:ascii="Times New Roman" w:hAnsi="Times New Roman" w:cs="Times New Roman"/>
          <w:color w:val="000000"/>
        </w:rPr>
        <w:t xml:space="preserve">одано таким участником аукциона;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г) каждую последующую цену аукционист назначает путем увеличения текущей</w:t>
      </w:r>
      <w:r>
        <w:rPr>
          <w:rFonts w:ascii="Times New Roman" w:hAnsi="Times New Roman" w:cs="Times New Roman"/>
          <w:color w:val="000000"/>
        </w:rPr>
        <w:t xml:space="preserve">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д) при отсутствии участников аукциона, готовых купить земельный участок в соответствии с названной аукционистом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Если</w:t>
      </w:r>
      <w:r>
        <w:rPr>
          <w:rFonts w:ascii="Times New Roman" w:hAnsi="Times New Roman" w:cs="Times New Roman"/>
          <w:color w:val="000000"/>
        </w:rPr>
        <w:t xml:space="preserve">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е) по завершении аукциона аукционист объявляет о продаже земельного участка, называет цену и номер билета победителя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Результат</w:t>
      </w:r>
      <w:r>
        <w:rPr>
          <w:rFonts w:ascii="Times New Roman" w:hAnsi="Times New Roman" w:cs="Times New Roman"/>
          <w:color w:val="000000"/>
        </w:rPr>
        <w:t xml:space="preserve">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месте, дате и времени проведения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предмет аукциона, в том числе сведения о местоположении и площади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об участниках аукциона, о начальной цене предмета аукциона, последнем и предпоследнем предложениях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последнем предложении о цене предмета аукциона (цена приобретаемого в собственность земельного участка).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о результатах аукциона размещается на официальном сайте торгов в течение одного рабочего дня со дня подписания данного протокола.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12. Порядок заключения договора купли-продажи земельного участка (Приложение 2).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случаях,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</w:t>
      </w:r>
      <w:r>
        <w:rPr>
          <w:rFonts w:ascii="Times New Roman" w:hAnsi="Times New Roman" w:cs="Times New Roman"/>
          <w:color w:val="000000"/>
        </w:rPr>
        <w:t xml:space="preserve">укционе и заявитель, подавший указанную заявку, соответствуют всем требованиям и указанным в извещении о проведении аукциона условиям аукциона, Управление имущественных и земельных отношений Администрации города Костромы в течение десяти дней со дня подпис</w:t>
      </w:r>
      <w:r>
        <w:rPr>
          <w:rFonts w:ascii="Times New Roman" w:hAnsi="Times New Roman" w:cs="Times New Roman"/>
          <w:color w:val="000000"/>
        </w:rPr>
        <w:t xml:space="preserve">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десятидневный срок со дня составления протокола о результатах аукциона Управление имущественных и земельных отношений Администрации города Костромы направляет победителю аукциона или </w:t>
      </w:r>
      <w:r>
        <w:rPr>
          <w:rFonts w:ascii="Times New Roman" w:hAnsi="Times New Roman" w:cs="Times New Roman"/>
          <w:color w:val="000000"/>
        </w:rPr>
        <w:t xml:space="preserve">единственному принявшему участие в аукционе его участнику три экземпляра подписанного проекта договора купли-продажи. При этом договор купли-продажи земельного участка заключается по цене, предложенной победителем аукциона, или в случае заключения указанно</w:t>
      </w:r>
      <w:r>
        <w:rPr>
          <w:rFonts w:ascii="Times New Roman" w:hAnsi="Times New Roman" w:cs="Times New Roman"/>
          <w:color w:val="000000"/>
        </w:rPr>
        <w:t xml:space="preserve">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Управлени</w:t>
      </w:r>
      <w:r>
        <w:rPr>
          <w:rFonts w:ascii="Times New Roman" w:hAnsi="Times New Roman" w:cs="Times New Roman"/>
          <w:color w:val="000000"/>
        </w:rPr>
        <w:t xml:space="preserve">е имущественных и земельных отношений Администрации города Костромы, Управление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13. Аукцион признается не состоявшимся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аукционе участвовал только один участник,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при проведении аукциона не присутствовал ни один из участников аукциона,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14.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15. </w:t>
      </w:r>
      <w:r>
        <w:rPr>
          <w:rFonts w:ascii="Times New Roman" w:hAnsi="Times New Roman" w:cs="Times New Roman"/>
          <w:color w:val="000000"/>
        </w:rPr>
        <w:t xml:space="preserve">Ознакомиться</w:t>
      </w:r>
      <w:r>
        <w:rPr>
          <w:rFonts w:ascii="Times New Roman" w:hAnsi="Times New Roman" w:cs="Times New Roman"/>
          <w:color w:val="000000"/>
        </w:rPr>
        <w:t xml:space="preserve"> с 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 возможно по месту приема заявок в течение срока приема заявок, на официальном сайте Российской Федераци</w:t>
      </w:r>
      <w:r>
        <w:rPr>
          <w:rFonts w:ascii="Times New Roman" w:hAnsi="Times New Roman" w:cs="Times New Roman"/>
          <w:color w:val="000000"/>
        </w:rPr>
        <w:t xml:space="preserve">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(http://torgi.gov.ru), и на официальном сайте Администрации города Костромы (http://</w:t>
      </w:r>
      <w:r>
        <w:rPr>
          <w:rFonts w:ascii="Times New Roman" w:hAnsi="Times New Roman" w:cs="Times New Roman"/>
          <w:color w:val="000000"/>
        </w:rPr>
        <w:t xml:space="preserve">grad.kostroma.gov.ru</w:t>
      </w:r>
      <w:r>
        <w:rPr>
          <w:rFonts w:ascii="Times New Roman" w:hAnsi="Times New Roman" w:cs="Times New Roman"/>
          <w:color w:val="000000"/>
        </w:rPr>
        <w:t xml:space="preserve">).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16.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Земельный участок с кадастровым номером 44:27:000000:16848 в со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ответствии с Правилами землепользования и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застройки города Костромы,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утвержденными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отнесен к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зоне застройки индивидуальными жилыми домами Ж-1: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left="0" w:right="0" w:firstLine="0"/>
        <w:jc w:val="center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«1.1. Градостроительный регламент зоны застройки</w:t>
        <w:br/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индивидуальными жилыми домами Ж-1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1.1.1. Зона застройки индивидуальными жилыми домами Ж-1, включая подзоны Ж-1.1, Ж-1.2, Ж-1.3 (далее - зона Ж-1), выделяется на основе существующих и вновь осваиваемых территорий индивидуальной жилой застройки, с целью повышения уровня комфортности проживан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ия, развития сферы социального и культурно-бытового обслуживания, обеспечивающих потребности жителей, создания условий для размещения необходимых объектов инженерной инфраструктуры и благоустройства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В пределах зоны Ж-1 допускается размещать объекты бытового обслуживания населения, не имеющие санитарно-защитной зоны, преимущественно встроенные и встроенно-пристроенные.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1.1.3. Для земельных участков и объектов капитального строительства, расположенных в пределах зоны Ж-1 (подзон Ж-1.1, Ж-1.2, Ж-1.3), устанавливаются следующие основные виды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(далее - вид разрешенного использования) с указанием кода (числового обозначения) видов разрешенного использования земельных участков (далее - код вида), соответствующих 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none"/>
        </w:rPr>
        <w:t xml:space="preserve">Классификатору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года N П/0412 (далее - Классификатор), и соответствующие каждому виду предельные (минималь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отдельно стоящих объектов (далее - предельные параметры):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798"/>
        <w:gridCol w:w="2951"/>
        <w:gridCol w:w="3651"/>
        <w:gridCol w:w="56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индивидуального жилищного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 с их проживанием в таком здании, не предназначенное для раздела на самостоятельные объекты недвижимости)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17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Блокированная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(для каждого блока)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(для каждого блока)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границы земельного участка со стороны общей стены между блоками (блок-секциями)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максимальное количество совмещенных домов - 4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до 400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- 400-500 мест - 60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- 500-600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- 600-800 мест - 40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- 800-1100 мест - 33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- 1100-1500 мест - 21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вместимость - 1500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Магазины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-Ж-1, Ж-1.3 - 40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торговая площадь объекта - 300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Бытовое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объектов капитального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площадок для занятия спортом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Социальное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vMerge w:val="restart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1.1.4. Для земельных участков и объектов капитального строительства, расположенных в пределах зоны Ж-1 (подзон Ж-1.1, Ж-1.2, Ж-1.3),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65"/>
        <w:gridCol w:w="2835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Религиозное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объектов, предназначенных для религиозных обрядов и церемоний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иных зданий и сооружений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Малоэтажная многоквартирная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малоэтажный многоквартирный дом (многоквартирные дома высотой до 4 этажей, включая мансардный)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на одну квартиру (без площади застройки) - 0,006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Ж-1 - 4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1.1.5. Для земельных участков и объектов капитального строительства, расположенных в пределах зоны Ж-1 (подзоны Ж-1.1, Ж-1.2, Ж-1.3),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индивидуального жилищного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выращивание сельскохозяйственных культур; размещение гаражей для собственных нужд и хозяйственных построек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блокированной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малоэтажной многоквартирной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обустройство спортивных и детских площадок, площадок отдыха;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й площади помещений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1.1.6. Иные параметры, применяемые к объектам и территориям, расположенным в подзонах зоны Ж-1: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Ж-1.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Для подзоны Ж-1.1 максимальная площадь застройки и предельные параметры отдельно стоящего объекта капитального строительства - 300 м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, при максимальных параметрах объекта (длина/ ширина) 15,0 м x 20,0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для жилых зданий - от 0 до 6 м (по линии застройки);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максимальный процент застройки земельного участка - 10 процентов от общей площади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rFonts w:ascii="Times New Roman" w:hAnsi="Times New Roman" w:cs="Times New Roman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максимальная высота - не устанавливается.</w:t>
      </w:r>
      <w:r>
        <w:rPr>
          <w:rFonts w:ascii="Times New Roman" w:hAnsi="Times New Roman" w:cs="Times New Roman"/>
          <w:sz w:val="22"/>
          <w:szCs w:val="22"/>
        </w:rPr>
        <w:t xml:space="preserve">»</w:t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17.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Земельный участок с кадастровым номером 44:27:020301:341 в со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ответствии с Правилами землепользования и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за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стройки города Костромы,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утвержденными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отнесен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к зоне застройки малоэтажными жилыми домами (до 4 этажей, включая мансардный) Ж-2: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 Градостроительный регламент зоны застройки малоэтажными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жилыми домами (до 4 этажей, включая мансардный) Ж-2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1.2.1. Зона застройки малоэтажными жилыми домами (до 4 этажей, включая мансардный) Ж-2, включая подзоны Ж-2.1, Ж-2.2 (далее - зона Ж-2), выделяется в целях формирования жилых районов для размещения домов блокированной застройки с участками, многоквартирных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домов с количеством этажей не более чем четыре, а также минимально необходимого перечня отдельно стоящих, встроенных и (или) пристроенных объектов социального и коммунально-бытового назначения, обеспечивающих жизнедеятельность населения. Разрешено размеще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ние объектов обслуживания низового уровня и ограниченно других видов деятельности.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В пределах зоны Ж-2 допускается размещать объекты бытового обслуживания населения, объекты амбулаторно-ветеринарного обслуживания, не имеющие санитарно-защитной зоны, преимущественно встроенные и встроенно-пристроенные.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1.2.3. Для земельных участков и объектов капитального строительства, расположенных в пределах зоны Ж-2 (подзоны Ж-2.1, Ж-2.2), устанавливаются следующие основные виды разрешенного 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935"/>
        <w:gridCol w:w="99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Малоэтажная многоквартирная жилая застройка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Малоэтажный многоквартирный дом (многоквартирные дома высотой до 4 этажей, включая мансардный)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на одну квартиру (без площади застройки) - 0,006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3.5.1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до 400 мест - 50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- 400-500 мест - 60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- 500-600 мест - 50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- 600-800 мест - 40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- 800-1100 мест - 33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- 1100-1500 мест - 21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максимальная вместимость - 1500 мест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Магазины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размер земельного участка - 0,12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максимальная торговая площадь объекта - 300 кв. 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4.4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Бытовое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Спорт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для объектов капитального строительства: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для площадок для занятия спортом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Общественное питание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Культурное развитие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3.6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Общественное управление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- 0,002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3.8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Деловое управление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4.5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3.4.1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Коммунальное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- 11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Социальное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12.0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Улично-дорожная сеть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12.0.1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1.2.4. Для земельных участков и объектов капитального строительства, расположенных в пределах зоны Ж-2 (подзон Ж-2.1, Ж-2.2),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176"/>
        <w:gridCol w:w="3969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Блокированная жилая застройка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(для каждого блока)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размер земельного участка (для каждого блока) - 0,15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границы земельного участка со стороны общей стены между блоками (блок-секциями)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максимальное количество совмещенных домов - 10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индивидуального жилищного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х с их проживанием в таком здании, не предназначенное для раздела на самостоятельные объекты недвижимости)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размер земельного участка - 0,15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Гостиничное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- 0,003 га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4.7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Религиозное использование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для объектов, предназначенных для религиозных обрядов и церемоний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для иных зданий и сооружений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3.7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8.3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Хранение автотранспорта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2.7.1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Амбулаторное ветеринарное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3.10.1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Служебные гаражи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Объекты дорожного сервиса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4.9.1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2.7.2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Стоянка транспортных средств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4.9.2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1.2.5. Для земельных участков и объектов капитального строительства, расположенных в пределах зоны Ж-2 (подзон Ж-2.1, Ж-2.2), устанавливаются следующие вспомогательные виды использования: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Вид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индивидуального жилищного строительства: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выращивание сельскохозяйственных культур; размещение гаражей для собственных нужд и хозяйственных построек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блокированной жилой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малоэтажной многоквартирной жилой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обустройство спортивных и детских площадок, площадок отдыха;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й площади помещений дома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1.2.6. Иные параметры, применяемые к объектам и территориям, расположенным в подзонах зоны Ж-2: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Ж-2.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для жилых зданий - от 0 до 6 м (по линии застройки);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максимальный процент застройки земельного участка - 10 процентов от общей площади участка;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максимальная высота - не устанавливается.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left="7655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  <w:color w:val="000000"/>
        </w:rPr>
        <w:t xml:space="preserve">Приложение 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372" w:firstLine="7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Управление имущественных и земельных отношений Администрации города Костромы (организатору аукциона)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НА УЧАСТИЕ В АУКЦИОНЕ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 продаже земельного участка </w:t>
      </w:r>
      <w:r>
        <w:rPr>
          <w:rFonts w:ascii="Times New Roman" w:hAnsi="Times New Roman" w:cs="Times New Roman"/>
          <w:color w:val="000000"/>
        </w:rPr>
        <w:t xml:space="preserve">по адресу: ___________________________________________________,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назначенном на __________________________, лот № 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(дата аукциона)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numPr>
          <w:ilvl w:val="0"/>
          <w:numId w:val="8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(полностью фамилия, имя, отчество физического лица, фирменное наименование (наименование) юридического лица)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 Паспорт __________________ выдан</w:t>
      </w:r>
      <w:r>
        <w:rPr>
          <w:rFonts w:ascii="Times New Roman" w:hAnsi="Times New Roman" w:cs="Times New Roman"/>
          <w:color w:val="000000"/>
        </w:rPr>
        <w:tab/>
        <w:t xml:space="preserve">__________________      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(серия, номер)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(дата выдачи)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(кем выдан)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(код подразделения)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(ИНН)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(ОГРН, ОГРНИП)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(адрес регистрации по месту жительства физического лица, место нахождения юридического лица – претендента)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Почтовый адрес:____________________________________________________________________________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Телефон _________________________, адрес электронной почты___________________________________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Ознакомившись с извещением о проведении аукциона по продаже земельных уч</w:t>
      </w:r>
      <w:r>
        <w:rPr>
          <w:rFonts w:ascii="Times New Roman" w:hAnsi="Times New Roman" w:cs="Times New Roman"/>
          <w:color w:val="000000"/>
        </w:rPr>
        <w:t xml:space="preserve">астков, расположенных на территории города Костромы, государственная собственность на которые не разграничена, размещённом на официальном сайте торгов в сети «Интернет» по адресу: www.torgi.gov.ru, включая проект договора купли-продажи земельного участка, </w:t>
      </w:r>
      <w:r>
        <w:rPr>
          <w:rFonts w:ascii="Times New Roman" w:hAnsi="Times New Roman" w:cs="Times New Roman"/>
          <w:color w:val="000000"/>
        </w:rPr>
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color w:val="000000"/>
        </w:rPr>
        <w:t xml:space="preserve">, выражаю намерение участвовать в аукционе по продаже земельного участка по адресу: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Обязуюсь соблюдать условия, указанные в извещении.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В случае признания победителем аукциона обязуюсь заключить договор купли-продажи земельного участка в установленный срок.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Банковские реквизиты для возврата задатка: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Банк 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Расчётный счёт _____________________________ Корреспондентский счёт_____________________________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БИК___________________________________Лицевой</w:t>
      </w:r>
      <w:r>
        <w:rPr>
          <w:rFonts w:ascii="Times New Roman" w:hAnsi="Times New Roman" w:cs="Times New Roman"/>
          <w:color w:val="000000"/>
        </w:rPr>
        <w:t xml:space="preserve"> счёт 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Ф. И. О. (наименование) получателя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С целью организации и проведения аукциона по продаже земельного участка в соответствии с Федеральным законом от 27.07.2006 № 152-ФЗ «О персональных данных» на</w:t>
      </w:r>
      <w:r>
        <w:rPr>
          <w:rFonts w:ascii="Times New Roman" w:hAnsi="Times New Roman" w:cs="Times New Roman"/>
          <w:color w:val="000000"/>
        </w:rPr>
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</w:r>
      <w:r>
        <w:rPr>
          <w:rFonts w:ascii="Times New Roman" w:hAnsi="Times New Roman" w:cs="Times New Roman"/>
          <w:color w:val="000000"/>
        </w:rPr>
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</w:r>
      <w:r>
        <w:rPr>
          <w:rFonts w:ascii="Times New Roman" w:hAnsi="Times New Roman" w:cs="Times New Roman"/>
          <w:color w:val="000000"/>
        </w:rPr>
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</w:t>
      </w:r>
      <w:r>
        <w:rPr>
          <w:rFonts w:ascii="Times New Roman" w:hAnsi="Times New Roman" w:cs="Times New Roman"/>
          <w:color w:val="000000"/>
        </w:rPr>
        <w:tab/>
        <w:t xml:space="preserve">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Фирменное наименование (наименование)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подпись)       (фамилия, имя, отчество, руководителя или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юридического лица – претендента                                                                            уполномоченного лица, действующего по доверенности)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М. П.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принята организатором аукциона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«______» ___________ 20____ года в</w:t>
      </w:r>
      <w:r>
        <w:rPr>
          <w:rFonts w:ascii="Times New Roman" w:hAnsi="Times New Roman" w:cs="Times New Roman"/>
          <w:color w:val="000000"/>
        </w:rPr>
        <w:tab/>
        <w:t xml:space="preserve">_____</w:t>
      </w:r>
      <w:r>
        <w:rPr>
          <w:rFonts w:ascii="Times New Roman" w:hAnsi="Times New Roman" w:cs="Times New Roman"/>
          <w:color w:val="000000"/>
        </w:rPr>
        <w:tab/>
        <w:t xml:space="preserve">часов</w:t>
      </w:r>
      <w:r>
        <w:rPr>
          <w:rFonts w:ascii="Times New Roman" w:hAnsi="Times New Roman" w:cs="Times New Roman"/>
          <w:color w:val="000000"/>
        </w:rPr>
        <w:tab/>
        <w:t xml:space="preserve">______</w:t>
      </w:r>
      <w:r>
        <w:rPr>
          <w:rFonts w:ascii="Times New Roman" w:hAnsi="Times New Roman" w:cs="Times New Roman"/>
          <w:color w:val="000000"/>
        </w:rPr>
        <w:tab/>
        <w:t xml:space="preserve">минут регистрационный № 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Уполномоченное организатором аукциона лицо,  принявшее заявку: ___________ ________________________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(подпись)              (фамилия, имя, отчество)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Приложение 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521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</w:t>
      </w:r>
      <w:r>
        <w:rPr>
          <w:rFonts w:ascii="Times New Roman" w:hAnsi="Times New Roman" w:cs="Times New Roman"/>
          <w:color w:val="000000"/>
        </w:rPr>
        <w:t xml:space="preserve">01006568, КПП 440101001,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</w:rPr>
        <w:t xml:space="preserve">, 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_________рублей зачисляется в счет платежа по настоящему договору за земельный участок.</w:t>
      </w:r>
      <w:bookmarkStart w:id="0" w:name="undefined"/>
      <w:r/>
      <w:bookmarkEnd w:id="0"/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</w:t>
      </w:r>
      <w:r>
        <w:rPr>
          <w:rFonts w:ascii="Times New Roman" w:hAnsi="Times New Roman" w:cs="Times New Roman"/>
          <w:color w:val="000000"/>
        </w:rPr>
        <w:t xml:space="preserve">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обязательства, от суммы</w:t>
      </w:r>
      <w:r>
        <w:rPr>
          <w:rFonts w:ascii="Times New Roman" w:hAnsi="Times New Roman" w:cs="Times New Roman"/>
          <w:color w:val="000000"/>
        </w:rPr>
        <w:t xml:space="preserve"> задолженности. </w:t>
      </w:r>
      <w:r>
        <w:rPr>
          <w:rFonts w:ascii="Times New Roman" w:hAnsi="Times New Roman" w:cs="Times New Roman"/>
          <w:color w:val="000000"/>
        </w:rPr>
        <w:t xml:space="preserve">Пени </w:t>
      </w:r>
      <w:r>
        <w:rPr>
          <w:rFonts w:ascii="Times New Roman" w:hAnsi="Times New Roman" w:cs="Times New Roman"/>
          <w:color w:val="000000"/>
          <w:lang w:eastAsia="ru-RU"/>
        </w:rPr>
        <w:t xml:space="preserve">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color w:val="00000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4.3. Уплата неустойки не освобождает Покупателя от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</w:t>
      </w:r>
      <w:r>
        <w:rPr>
          <w:rFonts w:ascii="Times New Roman" w:hAnsi="Times New Roman" w:cs="Times New Roman"/>
          <w:color w:val="000000"/>
        </w:rPr>
        <w:t xml:space="preserve">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566" w:bottom="426" w:left="1134" w:header="0" w:footer="16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_Timer">
    <w:panose1 w:val="02000603000000000000"/>
  </w:font>
  <w:font w:name="Tahoma">
    <w:panose1 w:val="020B0604030504040204"/>
  </w:font>
  <w:font w:name="Calibri">
    <w:panose1 w:val="020F0502020204030204"/>
  </w:font>
  <w:font w:name="Courier">
    <w:panose1 w:val="020604090202050204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69"/>
        <w:rFonts w:ascii="Times New Roman" w:hAnsi="Times New Roman"/>
      </w:rPr>
      <w:framePr w:wrap="auto" w:vAnchor="text" w:hAnchor="margin" w:xAlign="right" w:y="1"/>
    </w:pPr>
    <w:r>
      <w:rPr>
        <w:rFonts w:ascii="Times New Roman" w:hAnsi="Times New Roman"/>
      </w:rPr>
    </w:r>
    <w:r>
      <w:rPr>
        <w:rStyle w:val="869"/>
        <w:rFonts w:ascii="Times New Roman" w:hAnsi="Times New Roman"/>
      </w:rPr>
    </w:r>
    <w:r>
      <w:rPr>
        <w:rStyle w:val="869"/>
        <w:rFonts w:ascii="Times New Roman" w:hAnsi="Times New Roman"/>
      </w:rPr>
    </w:r>
  </w:p>
  <w:p>
    <w:pPr>
      <w:pStyle w:val="871"/>
      <w:ind w:right="360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5" w:hanging="1305"/>
        <w:tabs>
          <w:tab w:val="num" w:pos="220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vertAlign w:val="baseline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59"/>
    <w:next w:val="859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2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59"/>
    <w:next w:val="85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2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2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6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59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59"/>
    <w:next w:val="859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2"/>
    <w:link w:val="706"/>
    <w:uiPriority w:val="10"/>
    <w:rPr>
      <w:sz w:val="48"/>
      <w:szCs w:val="48"/>
    </w:rPr>
  </w:style>
  <w:style w:type="paragraph" w:styleId="708">
    <w:name w:val="Subtitle"/>
    <w:basedOn w:val="859"/>
    <w:next w:val="859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2"/>
    <w:link w:val="708"/>
    <w:uiPriority w:val="11"/>
    <w:rPr>
      <w:sz w:val="24"/>
      <w:szCs w:val="24"/>
    </w:rPr>
  </w:style>
  <w:style w:type="paragraph" w:styleId="710">
    <w:name w:val="Quote"/>
    <w:basedOn w:val="859"/>
    <w:next w:val="859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9"/>
    <w:next w:val="859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2"/>
    <w:link w:val="871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67"/>
    <w:uiPriority w:val="99"/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2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2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860">
    <w:name w:val="Heading 4"/>
    <w:basedOn w:val="859"/>
    <w:next w:val="859"/>
    <w:link w:val="883"/>
    <w:uiPriority w:val="99"/>
    <w:qFormat/>
    <w:pPr>
      <w:ind w:firstLine="0"/>
      <w:keepNext/>
      <w:widowControl/>
      <w:outlineLvl w:val="3"/>
    </w:pPr>
    <w:rPr>
      <w:rFonts w:ascii="Courier New" w:hAnsi="Courier New" w:cs="Times New Roman"/>
      <w:b/>
      <w:bCs/>
      <w:sz w:val="26"/>
      <w:szCs w:val="26"/>
    </w:rPr>
  </w:style>
  <w:style w:type="paragraph" w:styleId="861">
    <w:name w:val="Heading 5"/>
    <w:basedOn w:val="859"/>
    <w:next w:val="859"/>
    <w:link w:val="884"/>
    <w:uiPriority w:val="99"/>
    <w:qFormat/>
    <w:pPr>
      <w:ind w:firstLine="0"/>
      <w:jc w:val="center"/>
      <w:keepNext/>
      <w:widowControl/>
      <w:tabs>
        <w:tab w:val="left" w:pos="720" w:leader="none"/>
        <w:tab w:val="left" w:pos="993" w:leader="none"/>
      </w:tabs>
      <w:outlineLvl w:val="4"/>
    </w:pPr>
    <w:rPr>
      <w:rFonts w:ascii="Courier" w:hAnsi="Courier" w:cs="Times New Roman"/>
      <w:b/>
      <w:bCs/>
      <w:sz w:val="24"/>
      <w:szCs w:val="24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character" w:styleId="865" w:customStyle="1">
    <w:name w:val="Heading 4 Char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66" w:customStyle="1">
    <w:name w:val="Heading 5 Char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67">
    <w:name w:val="Footer"/>
    <w:basedOn w:val="859"/>
    <w:link w:val="88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68" w:customStyle="1">
    <w:name w:val="Footer Char"/>
    <w:uiPriority w:val="99"/>
    <w:semiHidden/>
    <w:rPr>
      <w:rFonts w:ascii="Arial" w:hAnsi="Arial" w:cs="Arial"/>
      <w:sz w:val="20"/>
      <w:szCs w:val="20"/>
    </w:rPr>
  </w:style>
  <w:style w:type="character" w:styleId="869">
    <w:name w:val="page number"/>
    <w:basedOn w:val="862"/>
    <w:uiPriority w:val="99"/>
  </w:style>
  <w:style w:type="paragraph" w:styleId="870">
    <w:name w:val="Normal (Web)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71">
    <w:name w:val="Header"/>
    <w:basedOn w:val="859"/>
    <w:link w:val="87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72" w:customStyle="1">
    <w:name w:val="Верхний колонтитул Знак"/>
    <w:link w:val="871"/>
    <w:uiPriority w:val="99"/>
    <w:semiHidden/>
    <w:rPr>
      <w:rFonts w:ascii="Arial" w:hAnsi="Arial" w:cs="Arial"/>
      <w:sz w:val="20"/>
      <w:szCs w:val="20"/>
    </w:rPr>
  </w:style>
  <w:style w:type="paragraph" w:styleId="873" w:customStyle="1">
    <w:name w:val="Знак Знак Знак Знак Знак Знак Знак Знак Знак Знак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ahoma" w:hAnsi="Tahoma" w:cs="Tahoma"/>
      <w:lang w:val="en-US" w:eastAsia="en-US"/>
    </w:rPr>
  </w:style>
  <w:style w:type="paragraph" w:styleId="874" w:customStyle="1">
    <w:name w:val="Заголов1"/>
    <w:basedOn w:val="859"/>
    <w:uiPriority w:val="99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styleId="875" w:customStyle="1">
    <w:name w:val="Стандартный"/>
    <w:basedOn w:val="859"/>
    <w:uiPriority w:val="99"/>
    <w:pPr>
      <w:ind w:firstLine="851"/>
      <w:widowControl/>
    </w:pPr>
    <w:rPr>
      <w:rFonts w:ascii="Times New Roman" w:hAnsi="Times New Roman" w:cs="Times New Roman"/>
      <w:sz w:val="26"/>
      <w:szCs w:val="26"/>
    </w:rPr>
  </w:style>
  <w:style w:type="paragraph" w:styleId="876">
    <w:name w:val="Balloon Text"/>
    <w:basedOn w:val="859"/>
    <w:link w:val="878"/>
    <w:uiPriority w:val="99"/>
    <w:rPr>
      <w:rFonts w:ascii="Tahoma" w:hAnsi="Tahoma" w:cs="Times New Roman"/>
      <w:sz w:val="16"/>
      <w:szCs w:val="16"/>
    </w:rPr>
  </w:style>
  <w:style w:type="character" w:styleId="877" w:customStyle="1">
    <w:name w:val="Balloon Text Char"/>
    <w:uiPriority w:val="99"/>
    <w:semiHidden/>
    <w:rPr>
      <w:sz w:val="0"/>
      <w:szCs w:val="0"/>
    </w:rPr>
  </w:style>
  <w:style w:type="character" w:styleId="878" w:customStyle="1">
    <w:name w:val="Текст выноски Знак"/>
    <w:link w:val="876"/>
    <w:uiPriority w:val="99"/>
    <w:rPr>
      <w:rFonts w:ascii="Tahoma" w:hAnsi="Tahoma" w:cs="Tahoma"/>
      <w:sz w:val="16"/>
      <w:szCs w:val="16"/>
    </w:rPr>
  </w:style>
  <w:style w:type="character" w:styleId="879">
    <w:name w:val="Hyperlink"/>
    <w:uiPriority w:val="99"/>
    <w:rPr>
      <w:color w:val="0000ff"/>
      <w:u w:val="single"/>
    </w:rPr>
  </w:style>
  <w:style w:type="table" w:styleId="880">
    <w:name w:val="Table Grid"/>
    <w:basedOn w:val="863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1" w:customStyle="1">
    <w:name w:val="blk"/>
    <w:uiPriority w:val="99"/>
  </w:style>
  <w:style w:type="character" w:styleId="882" w:customStyle="1">
    <w:name w:val="Нижний колонтитул Знак"/>
    <w:link w:val="867"/>
    <w:uiPriority w:val="99"/>
    <w:rPr>
      <w:rFonts w:ascii="Arial" w:hAnsi="Arial" w:cs="Arial"/>
    </w:rPr>
  </w:style>
  <w:style w:type="character" w:styleId="883" w:customStyle="1">
    <w:name w:val="Заголовок 4 Знак"/>
    <w:link w:val="860"/>
    <w:uiPriority w:val="99"/>
    <w:rPr>
      <w:rFonts w:ascii="Courier New" w:hAnsi="Courier New" w:cs="Courier New"/>
      <w:b/>
      <w:bCs/>
      <w:sz w:val="26"/>
      <w:szCs w:val="26"/>
    </w:rPr>
  </w:style>
  <w:style w:type="character" w:styleId="884" w:customStyle="1">
    <w:name w:val="Заголовок 5 Знак"/>
    <w:link w:val="861"/>
    <w:uiPriority w:val="99"/>
    <w:rPr>
      <w:rFonts w:ascii="Courier" w:hAnsi="Courier" w:cs="Courier"/>
      <w:b/>
      <w:bCs/>
      <w:sz w:val="24"/>
      <w:szCs w:val="24"/>
    </w:rPr>
  </w:style>
  <w:style w:type="paragraph" w:styleId="885" w:customStyle="1">
    <w:name w:val="Абзац списка1"/>
    <w:basedOn w:val="859"/>
    <w:uiPriority w:val="99"/>
    <w:qFormat/>
    <w:pPr>
      <w:ind w:left="720"/>
    </w:pPr>
  </w:style>
  <w:style w:type="paragraph" w:styleId="886">
    <w:name w:val="Body Text Indent 2"/>
    <w:basedOn w:val="859"/>
    <w:link w:val="888"/>
    <w:uiPriority w:val="99"/>
    <w:pPr>
      <w:ind w:firstLine="482"/>
    </w:pPr>
    <w:rPr>
      <w:rFonts w:ascii="a_Timer" w:hAnsi="a_Timer" w:cs="Times New Roman"/>
      <w:sz w:val="24"/>
      <w:szCs w:val="24"/>
    </w:rPr>
  </w:style>
  <w:style w:type="character" w:styleId="887" w:customStyle="1">
    <w:name w:val="Body Text Indent 2 Char"/>
    <w:uiPriority w:val="99"/>
    <w:semiHidden/>
    <w:rPr>
      <w:rFonts w:ascii="Arial" w:hAnsi="Arial" w:cs="Arial"/>
      <w:sz w:val="20"/>
      <w:szCs w:val="20"/>
    </w:rPr>
  </w:style>
  <w:style w:type="character" w:styleId="888" w:customStyle="1">
    <w:name w:val="Основной текст с отступом 2 Знак"/>
    <w:link w:val="886"/>
    <w:uiPriority w:val="99"/>
    <w:rPr>
      <w:rFonts w:ascii="a_Timer" w:hAnsi="a_Timer" w:cs="a_Timer"/>
      <w:sz w:val="24"/>
      <w:szCs w:val="24"/>
    </w:rPr>
  </w:style>
  <w:style w:type="character" w:styleId="889">
    <w:name w:val="Strong"/>
    <w:uiPriority w:val="99"/>
    <w:qFormat/>
    <w:rPr>
      <w:b/>
      <w:bCs/>
    </w:rPr>
  </w:style>
  <w:style w:type="paragraph" w:styleId="890" w:customStyle="1">
    <w:name w:val="ConsPlusNormal"/>
    <w:rPr>
      <w:rFonts w:ascii="Arial" w:hAnsi="Arial" w:cs="Arial"/>
    </w:rPr>
  </w:style>
  <w:style w:type="paragraph" w:styleId="891" w:customStyle="1">
    <w:name w:val="Знак Знак1"/>
    <w:basedOn w:val="859"/>
    <w:pPr>
      <w:ind w:firstLine="0"/>
      <w:jc w:val="left"/>
      <w:widowControl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10C4-CDEE-4E34-81AE-70E2BF06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kav</dc:creator>
  <cp:keywords/>
  <dc:description/>
  <cp:revision>25</cp:revision>
  <dcterms:created xsi:type="dcterms:W3CDTF">2023-01-30T13:31:00Z</dcterms:created>
  <dcterms:modified xsi:type="dcterms:W3CDTF">2025-02-18T08:23:18Z</dcterms:modified>
</cp:coreProperties>
</file>