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 30 октября-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 года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1279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1292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1282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 </w:t>
      </w:r>
      <w:r>
        <w:rPr>
          <w:rFonts w:ascii="Times New Roman" w:hAnsi="Times New Roman" w:cs="Times New Roman"/>
        </w:rPr>
        <w:t xml:space="preserve">в районе поселка Рыбное»</w:t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75;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исх.02.11/3088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3137;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2620;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14.05.2024 № 13-01/01969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2 278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восемь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300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триста)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569 500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девять тысяч пятьсот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68;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исх.02.11/3086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3140;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2618;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702-2024;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15.05.2024 № 13-01/01993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2 273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три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568 250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восемь тысяч </w:t>
      </w:r>
      <w:r>
        <w:rPr>
          <w:rFonts w:ascii="Times New Roman" w:hAnsi="Times New Roman" w:cs="Times New Roman"/>
          <w:color w:val="000000"/>
        </w:rPr>
        <w:t xml:space="preserve">двести пятьдесят)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12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1490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</w:t>
      </w:r>
      <w:r>
        <w:rPr>
          <w:rFonts w:ascii="Times New Roman" w:hAnsi="Times New Roman" w:cs="Times New Roman"/>
          <w:color w:val="000000"/>
        </w:rPr>
        <w:t xml:space="preserve">78;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расположен в зоне </w:t>
      </w:r>
      <w:r>
        <w:rPr>
          <w:rFonts w:ascii="Times New Roman" w:hAnsi="Times New Roman" w:cs="Times New Roman"/>
          <w:color w:val="000000"/>
        </w:rPr>
        <w:t xml:space="preserve">44:00-6.826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14.</w:t>
      </w:r>
      <w:r>
        <w:rPr>
          <w:rFonts w:ascii="Times New Roman" w:hAnsi="Times New Roman" w:cs="Times New Roman"/>
          <w:color w:val="000000"/>
        </w:rPr>
        <w:t xml:space="preserve">05.2024 </w:t>
        <w:br/>
        <w:t xml:space="preserve">№ исх.02.11/3087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исх.02.11/</w:t>
      </w:r>
      <w:r>
        <w:rPr>
          <w:rFonts w:ascii="Times New Roman" w:hAnsi="Times New Roman" w:cs="Times New Roman"/>
          <w:color w:val="000000"/>
        </w:rPr>
        <w:t xml:space="preserve">3139;</w:t>
      </w:r>
      <w:r>
        <w:rPr>
          <w:rFonts w:ascii="Times New Roman" w:hAnsi="Times New Roman" w:cs="Times New Roman"/>
          <w:color w:val="000000"/>
        </w:rPr>
        <w:t xml:space="preserve"> газоснабжение от АО «Газпром газораспределение Кострома» от </w:t>
      </w:r>
      <w:r>
        <w:rPr>
          <w:rFonts w:ascii="Times New Roman" w:hAnsi="Times New Roman" w:cs="Times New Roman"/>
          <w:color w:val="000000"/>
        </w:rPr>
        <w:t xml:space="preserve">13.</w:t>
      </w:r>
      <w:r>
        <w:rPr>
          <w:rFonts w:ascii="Times New Roman" w:hAnsi="Times New Roman" w:cs="Times New Roman"/>
          <w:color w:val="000000"/>
        </w:rPr>
        <w:t xml:space="preserve">05.2024 № ИС-15/</w:t>
      </w:r>
      <w:r>
        <w:rPr>
          <w:rFonts w:ascii="Times New Roman" w:hAnsi="Times New Roman" w:cs="Times New Roman"/>
          <w:color w:val="000000"/>
        </w:rPr>
        <w:t xml:space="preserve">2626;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15.</w:t>
      </w:r>
      <w:r>
        <w:rPr>
          <w:rFonts w:ascii="Times New Roman" w:hAnsi="Times New Roman" w:cs="Times New Roman"/>
          <w:color w:val="000000"/>
        </w:rPr>
        <w:t xml:space="preserve">05.2024 № 4201/</w:t>
      </w:r>
      <w:r>
        <w:rPr>
          <w:rFonts w:ascii="Times New Roman" w:hAnsi="Times New Roman" w:cs="Times New Roman"/>
          <w:color w:val="000000"/>
        </w:rPr>
        <w:t xml:space="preserve">700-2024;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14.05.2024 № 13-01/01968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2 273</w:t>
      </w:r>
      <w:r>
        <w:rPr>
          <w:rFonts w:ascii="Times New Roman" w:hAnsi="Times New Roman" w:cs="Times New Roman"/>
          <w:color w:val="000000"/>
        </w:rPr>
        <w:t xml:space="preserve"> 000</w:t>
      </w:r>
      <w:r>
        <w:rPr>
          <w:rFonts w:ascii="Times New Roman" w:hAnsi="Times New Roman" w:cs="Times New Roman"/>
          <w:color w:val="000000"/>
        </w:rPr>
        <w:t xml:space="preserve"> (Два миллиона </w:t>
      </w:r>
      <w:r>
        <w:rPr>
          <w:rFonts w:ascii="Times New Roman" w:hAnsi="Times New Roman" w:cs="Times New Roman"/>
          <w:color w:val="000000"/>
        </w:rPr>
        <w:t xml:space="preserve">двести семьдесят три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68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100 (Шестьдесят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сто)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568 250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Пятьсот шестьдесят восемь тысяч двести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</w:t>
      </w:r>
      <w:r>
        <w:rPr>
          <w:rFonts w:ascii="Times New Roman" w:hAnsi="Times New Roman" w:cs="Times New Roman"/>
          <w:color w:val="000000"/>
        </w:rPr>
        <w:t xml:space="preserve"> трех дней со дня принятия данного решения. 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30 октября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>
        <w:rPr>
          <w:rFonts w:ascii="Times New Roman" w:hAnsi="Times New Roman" w:cs="Times New Roman"/>
          <w:b/>
          <w:bCs/>
          <w:color w:val="000000"/>
        </w:rPr>
        <w:t xml:space="preserve">27</w:t>
      </w:r>
      <w:r>
        <w:rPr>
          <w:rFonts w:ascii="Times New Roman" w:hAnsi="Times New Roman" w:cs="Times New Roman"/>
          <w:b/>
          <w:bCs/>
          <w:color w:val="000000"/>
        </w:rPr>
        <w:t xml:space="preserve"> сентября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28 октября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  <w:color w:val="000000"/>
        </w:rPr>
        <w:t xml:space="preserve">30 октября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  <w:color w:val="000000"/>
        </w:rPr>
        <w:t xml:space="preserve">30 октября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21</cp:revision>
  <dcterms:created xsi:type="dcterms:W3CDTF">2023-01-30T13:31:00Z</dcterms:created>
  <dcterms:modified xsi:type="dcterms:W3CDTF">2024-09-24T06:22:26Z</dcterms:modified>
</cp:coreProperties>
</file>