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ind w:left="524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3"/>
        <w:rPr>
          <w:sz w:val="20"/>
          <w:szCs w:val="20"/>
          <w:lang w:val="ru-RU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  <w:lang w:val="ru-RU"/>
        </w:rPr>
      </w:r>
      <w:r>
        <w:rPr>
          <w:sz w:val="20"/>
          <w:szCs w:val="20"/>
          <w:lang w:val="ru-RU"/>
        </w:rPr>
      </w:r>
    </w:p>
    <w:p>
      <w:pPr>
        <w:pStyle w:val="803"/>
        <w:rPr>
          <w:sz w:val="20"/>
          <w:szCs w:val="20"/>
          <w:lang w:val="ru-RU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ии ау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  <w:lang w:val="ru-RU"/>
        </w:rPr>
      </w:r>
      <w:r>
        <w:rPr>
          <w:sz w:val="20"/>
          <w:szCs w:val="20"/>
          <w:lang w:val="ru-RU"/>
        </w:rPr>
      </w:r>
    </w:p>
    <w:p>
      <w:pPr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проведен</w:t>
      </w:r>
      <w:r>
        <w:rPr>
          <w:sz w:val="20"/>
          <w:szCs w:val="20"/>
          <w:highlight w:val="white"/>
        </w:rPr>
        <w:t xml:space="preserve">ии</w:t>
      </w:r>
      <w:r>
        <w:rPr>
          <w:b/>
          <w:bCs/>
          <w:sz w:val="20"/>
          <w:szCs w:val="20"/>
          <w:highlight w:val="white"/>
        </w:rPr>
        <w:t xml:space="preserve"> 15 июля</w:t>
      </w:r>
      <w:r>
        <w:rPr>
          <w:b/>
          <w:bCs/>
          <w:sz w:val="20"/>
          <w:szCs w:val="20"/>
          <w:highlight w:val="white"/>
        </w:rPr>
        <w:t xml:space="preserve"> 2026 года</w:t>
      </w:r>
      <w:r>
        <w:rPr>
          <w:sz w:val="20"/>
          <w:szCs w:val="20"/>
          <w:highlight w:val="white"/>
        </w:rPr>
        <w:t xml:space="preserve"> аукциона по продаже земельного участка.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Форма торгов – электронный аукцион.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>
        <w:rPr>
          <w:sz w:val="20"/>
          <w:szCs w:val="20"/>
        </w:rPr>
        <w:t xml:space="preserve">Аукцион проводится в соответствии со статьями</w:t>
      </w:r>
      <w:r>
        <w:rPr>
          <w:sz w:val="20"/>
          <w:szCs w:val="20"/>
          <w:highlight w:val="white"/>
        </w:rPr>
        <w:t xml:space="preserve"> 39.11, 39.12, 39.13 Земельного кодекса Российской Федерации, на основа</w:t>
      </w:r>
      <w:r>
        <w:rPr>
          <w:sz w:val="20"/>
          <w:szCs w:val="20"/>
          <w:highlight w:val="white"/>
        </w:rPr>
        <w:t xml:space="preserve">нии постановления Администрации города Костромы от 22 декабря 2023 года № 2746 «Об отказе в предоставлении в собственность и о проведен</w:t>
      </w:r>
      <w:r>
        <w:rPr>
          <w:sz w:val="20"/>
          <w:szCs w:val="20"/>
          <w:highlight w:val="white"/>
        </w:rPr>
        <w:t xml:space="preserve">ии ау</w:t>
      </w:r>
      <w:r>
        <w:rPr>
          <w:sz w:val="20"/>
          <w:szCs w:val="20"/>
          <w:highlight w:val="white"/>
        </w:rPr>
        <w:t xml:space="preserve">кциона по продаже земельного участка, расположенного по адресу: Российская Федерация, Костромская область, городской</w:t>
      </w:r>
      <w:r>
        <w:rPr>
          <w:sz w:val="20"/>
          <w:szCs w:val="20"/>
          <w:highlight w:val="white"/>
        </w:rPr>
        <w:t xml:space="preserve"> округ город Кострома, город Кострома, улица </w:t>
      </w:r>
      <w:r>
        <w:rPr>
          <w:sz w:val="20"/>
          <w:szCs w:val="20"/>
          <w:highlight w:val="white"/>
        </w:rPr>
        <w:t xml:space="preserve">Жарские</w:t>
      </w:r>
      <w:r>
        <w:rPr>
          <w:sz w:val="20"/>
          <w:szCs w:val="20"/>
          <w:highlight w:val="white"/>
        </w:rPr>
        <w:t xml:space="preserve"> луга, 6»; постановления Администрации города Костромы от 14 августа  2024 года № 1402 «Об отказе в предоставлении в собственность и о проведен</w:t>
      </w:r>
      <w:r>
        <w:rPr>
          <w:sz w:val="20"/>
          <w:szCs w:val="20"/>
          <w:highlight w:val="white"/>
        </w:rPr>
        <w:t xml:space="preserve">ии ау</w:t>
      </w:r>
      <w:r>
        <w:rPr>
          <w:sz w:val="20"/>
          <w:szCs w:val="20"/>
          <w:highlight w:val="white"/>
        </w:rPr>
        <w:t xml:space="preserve">кциона по продаже земельного участка, расположенного по </w:t>
      </w:r>
      <w:r>
        <w:rPr>
          <w:sz w:val="20"/>
          <w:szCs w:val="20"/>
          <w:highlight w:val="white"/>
        </w:rPr>
        <w:t xml:space="preserve">адресу: Российская Федерация, Костромская область, городской округ город Кострома, город Кострома, улица </w:t>
      </w:r>
      <w:r>
        <w:rPr>
          <w:sz w:val="20"/>
          <w:szCs w:val="20"/>
          <w:highlight w:val="white"/>
        </w:rPr>
        <w:t xml:space="preserve">Жарские</w:t>
      </w:r>
      <w:r>
        <w:rPr>
          <w:sz w:val="20"/>
          <w:szCs w:val="20"/>
          <w:highlight w:val="white"/>
        </w:rPr>
        <w:t xml:space="preserve"> луга, 12»</w:t>
      </w:r>
      <w:r>
        <w:rPr>
          <w:color w:val="000000"/>
          <w:sz w:val="20"/>
          <w:szCs w:val="20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Сведения о предмете аукциона: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ЛОТ № 1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адрес</w:t>
      </w:r>
      <w:r>
        <w:rPr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</w:t>
      </w:r>
      <w:r>
        <w:rPr>
          <w:color w:val="000000"/>
          <w:sz w:val="20"/>
          <w:szCs w:val="20"/>
          <w:highlight w:val="white"/>
        </w:rPr>
        <w:t xml:space="preserve">Жарские</w:t>
      </w:r>
      <w:r>
        <w:rPr>
          <w:color w:val="000000"/>
          <w:sz w:val="20"/>
          <w:szCs w:val="20"/>
          <w:highlight w:val="white"/>
        </w:rPr>
        <w:t xml:space="preserve"> луга, 6;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площад</w:t>
      </w:r>
      <w:r>
        <w:rPr>
          <w:color w:val="000000"/>
          <w:sz w:val="20"/>
          <w:szCs w:val="20"/>
          <w:highlight w:val="white"/>
        </w:rPr>
        <w:t xml:space="preserve">ь: 728 кв</w:t>
      </w:r>
      <w:r>
        <w:rPr>
          <w:color w:val="000000"/>
          <w:sz w:val="20"/>
          <w:szCs w:val="20"/>
          <w:highlight w:val="white"/>
        </w:rPr>
        <w:t xml:space="preserve">.м</w:t>
      </w:r>
      <w:r>
        <w:rPr>
          <w:color w:val="000000"/>
          <w:sz w:val="20"/>
          <w:szCs w:val="20"/>
          <w:highlight w:val="white"/>
        </w:rPr>
        <w:t xml:space="preserve">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color w:val="000000"/>
          <w:sz w:val="20"/>
          <w:szCs w:val="20"/>
          <w:highlight w:val="white"/>
        </w:rPr>
        <w:t xml:space="preserve">: 44:27:020301:331;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color w:val="000000"/>
          <w:sz w:val="20"/>
          <w:szCs w:val="20"/>
          <w:highlight w:val="white"/>
        </w:rPr>
        <w:t xml:space="preserve">: участок расположен в </w:t>
      </w:r>
      <w:r>
        <w:rPr>
          <w:color w:val="000000"/>
          <w:sz w:val="20"/>
          <w:szCs w:val="20"/>
          <w:highlight w:val="white"/>
        </w:rPr>
        <w:t xml:space="preserve">приаэродромной</w:t>
      </w:r>
      <w:r>
        <w:rPr>
          <w:color w:val="000000"/>
          <w:sz w:val="20"/>
          <w:szCs w:val="20"/>
          <w:highlight w:val="white"/>
        </w:rPr>
        <w:t xml:space="preserve"> территор</w:t>
      </w:r>
      <w:r>
        <w:rPr>
          <w:color w:val="000000"/>
          <w:sz w:val="20"/>
          <w:szCs w:val="20"/>
          <w:highlight w:val="white"/>
        </w:rPr>
        <w:t xml:space="preserve">ии аэ</w:t>
      </w:r>
      <w:r>
        <w:rPr>
          <w:color w:val="000000"/>
          <w:sz w:val="20"/>
          <w:szCs w:val="20"/>
          <w:highlight w:val="white"/>
        </w:rPr>
        <w:t xml:space="preserve">родрома Кострома (</w:t>
      </w:r>
      <w:r>
        <w:rPr>
          <w:color w:val="000000"/>
          <w:sz w:val="20"/>
          <w:szCs w:val="20"/>
          <w:highlight w:val="white"/>
        </w:rPr>
        <w:t xml:space="preserve">Сокеркино</w:t>
      </w:r>
      <w:r>
        <w:rPr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</w:t>
      </w:r>
      <w:r>
        <w:rPr>
          <w:color w:val="000000"/>
          <w:sz w:val="20"/>
          <w:szCs w:val="20"/>
          <w:highlight w:val="white"/>
        </w:rPr>
        <w:t xml:space="preserve">ой, пятой и шестой </w:t>
      </w:r>
      <w:r>
        <w:rPr>
          <w:color w:val="000000"/>
          <w:sz w:val="20"/>
          <w:szCs w:val="20"/>
          <w:highlight w:val="white"/>
        </w:rPr>
        <w:t xml:space="preserve">подзонах</w:t>
      </w:r>
      <w:r>
        <w:rPr>
          <w:color w:val="000000"/>
          <w:sz w:val="20"/>
          <w:szCs w:val="20"/>
          <w:highlight w:val="white"/>
        </w:rPr>
        <w:t xml:space="preserve"> </w:t>
      </w:r>
      <w:r>
        <w:rPr>
          <w:color w:val="000000"/>
          <w:sz w:val="20"/>
          <w:szCs w:val="20"/>
          <w:highlight w:val="white"/>
        </w:rPr>
        <w:t xml:space="preserve">приаэродромной</w:t>
      </w:r>
      <w:r>
        <w:rPr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color w:val="000000"/>
          <w:sz w:val="20"/>
          <w:szCs w:val="20"/>
          <w:highlight w:val="white"/>
        </w:rPr>
        <w:t xml:space="preserve">Сокеркино</w:t>
      </w:r>
      <w:r>
        <w:rPr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44:00-6.593); особые условия и режим хозяйственной деятель</w:t>
      </w:r>
      <w:r>
        <w:rPr>
          <w:color w:val="000000"/>
          <w:sz w:val="20"/>
          <w:szCs w:val="20"/>
          <w:highlight w:val="white"/>
        </w:rPr>
        <w:t xml:space="preserve">ности в охранных зонах инженерных коммуникаций;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</w:t>
      </w:r>
      <w:r>
        <w:rPr>
          <w:color w:val="000000"/>
          <w:sz w:val="20"/>
          <w:szCs w:val="20"/>
          <w:highlight w:val="white"/>
        </w:rPr>
        <w:t xml:space="preserve">го участка – 3 м;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информация о возможности подключения (технологического присоединения):</w:t>
      </w:r>
      <w:r>
        <w:rPr>
          <w:color w:val="000000"/>
          <w:sz w:val="20"/>
          <w:szCs w:val="20"/>
          <w:highlight w:val="white"/>
        </w:rPr>
        <w:t xml:space="preserve"> водоснабжение, водоотведение, ливневая канализация от МУП города Костромы «</w:t>
      </w:r>
      <w:r>
        <w:rPr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color w:val="000000"/>
          <w:sz w:val="20"/>
          <w:szCs w:val="20"/>
          <w:highlight w:val="white"/>
        </w:rPr>
        <w:t xml:space="preserve">» от 31.10.2025 № исх.02.11/7603д, от 05.11.2025 № исх.02.11/7666д; га</w:t>
      </w:r>
      <w:r>
        <w:rPr>
          <w:color w:val="000000"/>
          <w:sz w:val="20"/>
          <w:szCs w:val="20"/>
          <w:highlight w:val="white"/>
        </w:rPr>
        <w:t xml:space="preserve">зоснабжение от ООО «Газпром газораспределение Кострома» от 01.11.2025 № ИС-15/5627; теплоснабжение от ПАО «ТГК-2» от 01.11.2025 № 4201/1388-2025; от МУП г. Костромы Городские сети» от 11.11.2025 № 13-01/04735;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начальная цена земельного участка</w:t>
      </w:r>
      <w:r>
        <w:rPr>
          <w:color w:val="000000"/>
          <w:sz w:val="20"/>
          <w:szCs w:val="20"/>
          <w:highlight w:val="white"/>
        </w:rPr>
        <w:t xml:space="preserve">: 1 668 800 (Один миллион шестьсот шестьдесят восемь тысяч восемьсот) рублей;</w:t>
      </w:r>
      <w:r>
        <w:rPr>
          <w:color w:val="000000"/>
          <w:sz w:val="20"/>
          <w:szCs w:val="20"/>
          <w:highlight w:val="white"/>
        </w:rPr>
      </w:r>
      <w:r>
        <w:rPr>
          <w:color w:val="000000"/>
          <w:sz w:val="20"/>
          <w:szCs w:val="20"/>
          <w:highlight w:val="white"/>
        </w:rPr>
      </w:r>
    </w:p>
    <w:p>
      <w:pPr>
        <w:ind w:firstLine="851"/>
        <w:jc w:val="both"/>
        <w:rPr>
          <w:color w:val="000000"/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шаг аукциона</w:t>
      </w:r>
      <w:r>
        <w:rPr>
          <w:color w:val="000000"/>
          <w:sz w:val="20"/>
          <w:szCs w:val="20"/>
          <w:highlight w:val="white"/>
        </w:rPr>
        <w:t xml:space="preserve">: 50 064 (Пятьдесят тысяч шестьдесят четыре) рубля;</w:t>
      </w:r>
      <w:r>
        <w:rPr>
          <w:color w:val="000000"/>
          <w:sz w:val="20"/>
          <w:szCs w:val="20"/>
          <w:highlight w:val="white"/>
        </w:rPr>
      </w:r>
      <w:r>
        <w:rPr>
          <w:color w:val="000000"/>
          <w:sz w:val="20"/>
          <w:szCs w:val="20"/>
          <w:highlight w:val="white"/>
        </w:rPr>
      </w:r>
    </w:p>
    <w:p>
      <w:pPr>
        <w:ind w:firstLine="851"/>
        <w:jc w:val="both"/>
        <w:rPr>
          <w:color w:val="000000"/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задаток за участие в аукционе</w:t>
      </w:r>
      <w:r>
        <w:rPr>
          <w:color w:val="000000"/>
          <w:sz w:val="20"/>
          <w:szCs w:val="20"/>
          <w:highlight w:val="white"/>
        </w:rPr>
        <w:t xml:space="preserve">: 417 200 (Четыреста семнадцать тысяч двести) рублей.</w:t>
      </w:r>
      <w:r>
        <w:rPr>
          <w:color w:val="000000"/>
          <w:sz w:val="20"/>
          <w:szCs w:val="20"/>
          <w:highlight w:val="white"/>
        </w:rPr>
      </w:r>
      <w:r>
        <w:rPr>
          <w:color w:val="000000"/>
          <w:sz w:val="20"/>
          <w:szCs w:val="20"/>
          <w:highlight w:val="white"/>
        </w:rPr>
      </w:r>
    </w:p>
    <w:p>
      <w:pPr>
        <w:jc w:val="center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ЛОТ № 2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адрес</w:t>
      </w:r>
      <w:r>
        <w:rPr>
          <w:color w:val="000000"/>
          <w:sz w:val="20"/>
          <w:szCs w:val="20"/>
          <w:highlight w:val="white"/>
        </w:rPr>
        <w:t xml:space="preserve">: Российская Федерация, Костром</w:t>
      </w:r>
      <w:r>
        <w:rPr>
          <w:color w:val="000000"/>
          <w:sz w:val="20"/>
          <w:szCs w:val="20"/>
          <w:highlight w:val="white"/>
        </w:rPr>
        <w:t xml:space="preserve">ская область, городской округ город Кострома, город Кострома, улица </w:t>
      </w:r>
      <w:r>
        <w:rPr>
          <w:color w:val="000000"/>
          <w:sz w:val="20"/>
          <w:szCs w:val="20"/>
          <w:highlight w:val="white"/>
        </w:rPr>
        <w:t xml:space="preserve">Жарские</w:t>
      </w:r>
      <w:r>
        <w:rPr>
          <w:color w:val="000000"/>
          <w:sz w:val="20"/>
          <w:szCs w:val="20"/>
          <w:highlight w:val="white"/>
        </w:rPr>
        <w:t xml:space="preserve"> луга, 12;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площад</w:t>
      </w:r>
      <w:r>
        <w:rPr>
          <w:color w:val="000000"/>
          <w:sz w:val="20"/>
          <w:szCs w:val="20"/>
          <w:highlight w:val="white"/>
        </w:rPr>
        <w:t xml:space="preserve">ь: 604 кв</w:t>
      </w:r>
      <w:r>
        <w:rPr>
          <w:color w:val="000000"/>
          <w:sz w:val="20"/>
          <w:szCs w:val="20"/>
          <w:highlight w:val="white"/>
        </w:rPr>
        <w:t xml:space="preserve">.м</w:t>
      </w:r>
      <w:r>
        <w:rPr>
          <w:color w:val="000000"/>
          <w:sz w:val="20"/>
          <w:szCs w:val="20"/>
          <w:highlight w:val="white"/>
        </w:rPr>
        <w:t xml:space="preserve">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color w:val="000000"/>
          <w:sz w:val="20"/>
          <w:szCs w:val="20"/>
          <w:highlight w:val="white"/>
        </w:rPr>
        <w:t xml:space="preserve">: 44:27:020301:345;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color w:val="000000"/>
          <w:sz w:val="20"/>
          <w:szCs w:val="20"/>
          <w:highlight w:val="white"/>
        </w:rPr>
        <w:t xml:space="preserve">: для индивидуального жилищного строи</w:t>
      </w:r>
      <w:r>
        <w:rPr>
          <w:color w:val="000000"/>
          <w:sz w:val="20"/>
          <w:szCs w:val="20"/>
          <w:highlight w:val="white"/>
        </w:rPr>
        <w:t xml:space="preserve">тельства;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color w:val="000000"/>
          <w:sz w:val="20"/>
          <w:szCs w:val="20"/>
          <w:highlight w:val="white"/>
        </w:rPr>
        <w:t xml:space="preserve">: участок расположен в </w:t>
      </w:r>
      <w:r>
        <w:rPr>
          <w:color w:val="000000"/>
          <w:sz w:val="20"/>
          <w:szCs w:val="20"/>
          <w:highlight w:val="white"/>
        </w:rPr>
        <w:t xml:space="preserve">приаэродромной</w:t>
      </w:r>
      <w:r>
        <w:rPr>
          <w:color w:val="000000"/>
          <w:sz w:val="20"/>
          <w:szCs w:val="20"/>
          <w:highlight w:val="white"/>
        </w:rPr>
        <w:t xml:space="preserve"> территор</w:t>
      </w:r>
      <w:r>
        <w:rPr>
          <w:color w:val="000000"/>
          <w:sz w:val="20"/>
          <w:szCs w:val="20"/>
          <w:highlight w:val="white"/>
        </w:rPr>
        <w:t xml:space="preserve">ии аэ</w:t>
      </w:r>
      <w:r>
        <w:rPr>
          <w:color w:val="000000"/>
          <w:sz w:val="20"/>
          <w:szCs w:val="20"/>
          <w:highlight w:val="white"/>
        </w:rPr>
        <w:t xml:space="preserve">родрома Кострома (</w:t>
      </w:r>
      <w:r>
        <w:rPr>
          <w:color w:val="000000"/>
          <w:sz w:val="20"/>
          <w:szCs w:val="20"/>
          <w:highlight w:val="white"/>
        </w:rPr>
        <w:t xml:space="preserve">Сокеркино</w:t>
      </w:r>
      <w:r>
        <w:rPr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color w:val="000000"/>
          <w:sz w:val="20"/>
          <w:szCs w:val="20"/>
          <w:highlight w:val="white"/>
        </w:rPr>
        <w:t xml:space="preserve">подзонах</w:t>
      </w:r>
      <w:r>
        <w:rPr>
          <w:color w:val="000000"/>
          <w:sz w:val="20"/>
          <w:szCs w:val="20"/>
          <w:highlight w:val="white"/>
        </w:rPr>
        <w:t xml:space="preserve"> </w:t>
      </w:r>
      <w:r>
        <w:rPr>
          <w:color w:val="000000"/>
          <w:sz w:val="20"/>
          <w:szCs w:val="20"/>
          <w:highlight w:val="white"/>
        </w:rPr>
        <w:t xml:space="preserve">приаэродромной</w:t>
      </w:r>
      <w:r>
        <w:rPr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color w:val="000000"/>
          <w:sz w:val="20"/>
          <w:szCs w:val="20"/>
          <w:highlight w:val="white"/>
        </w:rPr>
        <w:t xml:space="preserve">Сокеркино</w:t>
      </w:r>
      <w:r>
        <w:rPr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44:00-6.593); особые условия и режим хозяйственной деятельности в охранных зонах инжен</w:t>
      </w:r>
      <w:r>
        <w:rPr>
          <w:color w:val="000000"/>
          <w:sz w:val="20"/>
          <w:szCs w:val="20"/>
          <w:highlight w:val="white"/>
        </w:rPr>
        <w:t xml:space="preserve">ерных коммуникаций;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851"/>
        <w:jc w:val="both"/>
        <w:rPr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  <w:highlight w:val="white"/>
        </w:rPr>
        <w:t xml:space="preserve">- </w:t>
      </w:r>
      <w:r>
        <w:rPr>
          <w:b/>
          <w:color w:val="000000"/>
          <w:sz w:val="20"/>
          <w:szCs w:val="20"/>
          <w:highlight w:val="white"/>
        </w:rPr>
        <w:t xml:space="preserve">информация о возможности подключения (технологического присоединения):</w:t>
      </w:r>
      <w:r>
        <w:rPr>
          <w:color w:val="000000"/>
          <w:sz w:val="20"/>
          <w:szCs w:val="20"/>
          <w:highlight w:val="white"/>
        </w:rPr>
        <w:t xml:space="preserve"> водоснабжение, водоотведение, ливневая канализация от МУП города Костромы «</w:t>
      </w:r>
      <w:r>
        <w:rPr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color w:val="000000"/>
          <w:sz w:val="20"/>
          <w:szCs w:val="20"/>
          <w:highlight w:val="white"/>
        </w:rPr>
        <w:t xml:space="preserve">» от 31.10.2025 № исх.02.11/7601д, от 05.11.2025 № исх.02.11/7666д; газоснабжение от ООО «</w:t>
      </w:r>
      <w:r>
        <w:rPr>
          <w:color w:val="000000"/>
          <w:sz w:val="20"/>
          <w:szCs w:val="20"/>
          <w:highlight w:val="white"/>
        </w:rPr>
        <w:t xml:space="preserve">Газпром </w:t>
      </w:r>
      <w:r>
        <w:rPr>
          <w:color w:val="000000"/>
          <w:sz w:val="20"/>
          <w:szCs w:val="20"/>
          <w:highlight w:val="white"/>
        </w:rPr>
        <w:t xml:space="preserve">газораспределение Кострома» от 01.11.2025 № ИС-15/5626; теплоснабжение от ПАО «ТГК-2» от 01.11.2025 № 4201/1388-2025; от МУП г. Костромы Городские сети» от 11.11.2025 № 13-01/04723;</w:t>
      </w:r>
      <w:r>
        <w:rPr>
          <w:color w:val="000000"/>
          <w:highlight w:val="white"/>
        </w:rPr>
      </w:r>
      <w:r>
        <w:rPr>
          <w:color w:val="00000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</w:t>
      </w:r>
      <w:r>
        <w:rPr>
          <w:b/>
          <w:sz w:val="20"/>
          <w:szCs w:val="20"/>
          <w:highlight w:val="white"/>
        </w:rPr>
        <w:t xml:space="preserve">начальная цена земельного участка</w:t>
      </w:r>
      <w:r>
        <w:rPr>
          <w:sz w:val="20"/>
          <w:szCs w:val="20"/>
          <w:highlight w:val="white"/>
        </w:rPr>
        <w:t xml:space="preserve">: 1 397 900 (Один миллион триста девяносто семь тысяч девятьсот) рублей;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</w:t>
      </w:r>
      <w:r>
        <w:rPr>
          <w:b/>
          <w:sz w:val="20"/>
          <w:szCs w:val="20"/>
          <w:highlight w:val="white"/>
        </w:rPr>
        <w:t xml:space="preserve">шаг аукци</w:t>
      </w:r>
      <w:r>
        <w:rPr>
          <w:sz w:val="20"/>
          <w:szCs w:val="20"/>
          <w:highlight w:val="white"/>
        </w:rPr>
        <w:t xml:space="preserve">она: 41 937 (Сорок одна тысяча девятьсот тридцать семь) рублей;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</w:t>
      </w:r>
      <w:r>
        <w:rPr>
          <w:b/>
          <w:sz w:val="20"/>
          <w:szCs w:val="20"/>
          <w:highlight w:val="white"/>
        </w:rPr>
        <w:t xml:space="preserve">задаток за участие в аукционе</w:t>
      </w:r>
      <w:r>
        <w:rPr>
          <w:sz w:val="20"/>
          <w:szCs w:val="20"/>
          <w:highlight w:val="white"/>
        </w:rPr>
        <w:t xml:space="preserve">: 349 475 (Триста сорок девять тысяч четыреста семьдесят пять) рублей.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</w:t>
      </w:r>
      <w:r>
        <w:rPr>
          <w:sz w:val="20"/>
          <w:szCs w:val="20"/>
          <w:highlight w:val="white"/>
        </w:rPr>
        <w:t xml:space="preserve">. Организатор аукциона – Управление имуществе</w:t>
      </w:r>
      <w:r>
        <w:rPr>
          <w:sz w:val="20"/>
          <w:szCs w:val="20"/>
          <w:highlight w:val="white"/>
        </w:rPr>
        <w:t xml:space="preserve">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</w:t>
      </w:r>
      <w:r>
        <w:rPr>
          <w:sz w:val="20"/>
          <w:szCs w:val="20"/>
          <w:highlight w:val="white"/>
        </w:rPr>
        <w:t xml:space="preserve">e-mail</w:t>
      </w:r>
      <w:r>
        <w:rPr>
          <w:sz w:val="20"/>
          <w:szCs w:val="20"/>
          <w:highlight w:val="white"/>
        </w:rPr>
        <w:t xml:space="preserve">: uizo@gradkostroma.ru (далее – организатор).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5</w:t>
      </w:r>
      <w:r>
        <w:rPr>
          <w:sz w:val="20"/>
          <w:szCs w:val="20"/>
          <w:highlight w:val="white"/>
        </w:rPr>
        <w:t xml:space="preserve">. Для участия в аукцион</w:t>
      </w:r>
      <w:r>
        <w:rPr>
          <w:sz w:val="20"/>
          <w:szCs w:val="20"/>
          <w:highlight w:val="white"/>
        </w:rPr>
        <w:t xml:space="preserve">е заявители представляют в установленный в извещении о проведен</w:t>
      </w:r>
      <w:r>
        <w:rPr>
          <w:sz w:val="20"/>
          <w:szCs w:val="20"/>
          <w:highlight w:val="white"/>
        </w:rPr>
        <w:t xml:space="preserve">ии ау</w:t>
      </w:r>
      <w:r>
        <w:rPr>
          <w:sz w:val="20"/>
          <w:szCs w:val="20"/>
          <w:highlight w:val="white"/>
        </w:rPr>
        <w:t xml:space="preserve">кциона срок следующие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highlight w:val="white"/>
        </w:rPr>
        <w:t xml:space="preserve">- заявка </w:t>
      </w:r>
      <w:r>
        <w:rPr>
          <w:sz w:val="20"/>
          <w:szCs w:val="20"/>
          <w:highlight w:val="white"/>
        </w:rPr>
        <w:t xml:space="preserve">на участие в аукционе по установленной в извещении о проведении</w:t>
      </w:r>
      <w:r>
        <w:rPr>
          <w:sz w:val="20"/>
          <w:szCs w:val="20"/>
          <w:highlight w:val="white"/>
        </w:rPr>
        <w:t xml:space="preserve"> аукциона форме с указанием банковских реквизитов счета для возврата задатка (Прило</w:t>
      </w:r>
      <w:r>
        <w:rPr>
          <w:sz w:val="20"/>
          <w:szCs w:val="20"/>
          <w:highlight w:val="white"/>
        </w:rPr>
        <w:t xml:space="preserve">жение 1);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копии документов, удостоверяющих личность заявителя (для граждан)</w:t>
      </w:r>
      <w:r>
        <w:rPr>
          <w:sz w:val="20"/>
          <w:szCs w:val="20"/>
          <w:highlight w:val="white"/>
        </w:rPr>
        <w:t xml:space="preserve">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highlight w:val="white"/>
        </w:rPr>
        <w:t xml:space="preserve">-надлежащим образом заверенный перевод </w:t>
      </w:r>
      <w:r>
        <w:rPr>
          <w:sz w:val="20"/>
          <w:szCs w:val="20"/>
          <w:highlight w:val="white"/>
        </w:rPr>
        <w:t xml:space="preserve">на русский язык документов о государственной регистрации юридического лица в соответствии с законодательством иностранного государства в с</w:t>
      </w:r>
      <w:r>
        <w:rPr>
          <w:sz w:val="20"/>
          <w:szCs w:val="20"/>
          <w:highlight w:val="white"/>
        </w:rPr>
        <w:t xml:space="preserve">лучае</w:t>
      </w:r>
      <w:r>
        <w:rPr>
          <w:sz w:val="20"/>
          <w:szCs w:val="20"/>
          <w:highlight w:val="white"/>
        </w:rPr>
        <w:t xml:space="preserve">, если заявителем является иностранное юридическое лицо;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документы, подтверждающие внесение задатка, представление которых признается заключением соглашения о задатке.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Заявка на участие в электронном аукционе с указанием </w:t>
      </w:r>
      <w:r>
        <w:rPr>
          <w:sz w:val="20"/>
          <w:szCs w:val="20"/>
        </w:rPr>
        <w:t xml:space="preserve">банковских реквизитов счета </w:t>
      </w:r>
      <w:r>
        <w:rPr>
          <w:sz w:val="20"/>
          <w:szCs w:val="20"/>
        </w:rPr>
        <w:t xml:space="preserve">для возврата задатка направляется оператору электронной площадки </w:t>
      </w:r>
      <w:r>
        <w:rPr>
          <w:rFonts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2"/>
            <w:rFonts w:eastAsia="Calibri"/>
            <w:sz w:val="20"/>
            <w:szCs w:val="20"/>
          </w:rPr>
          <w:t xml:space="preserve">https://www.rts-tender.ru/</w:t>
        </w:r>
      </w:hyperlink>
      <w:r>
        <w:rPr>
          <w:rFonts w:eastAsia="Calibri"/>
          <w:sz w:val="20"/>
          <w:szCs w:val="20"/>
        </w:rPr>
        <w:t xml:space="preserve"> (ООО «РТС-тендер») </w:t>
      </w:r>
      <w:r>
        <w:rPr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 w:eastAsia="Calibri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Заявитель не допускается к уч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астию в аукционе в следующих случаях: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непоступление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подача заявки на участие в аукционе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наличие сведений о заявителе, об учредителя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1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н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ачала подачи заявок: 19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июня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1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10 июля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в 18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6. </w:t>
      </w:r>
      <w:r>
        <w:rPr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2"/>
            <w:sz w:val="20"/>
            <w:szCs w:val="20"/>
            <w:lang w:val="en-US"/>
          </w:rPr>
          <w:t xml:space="preserve">www</w:t>
        </w:r>
        <w:r>
          <w:rPr>
            <w:rStyle w:val="762"/>
            <w:sz w:val="20"/>
            <w:szCs w:val="20"/>
          </w:rPr>
          <w:t xml:space="preserve">. </w:t>
        </w:r>
        <w:r>
          <w:rPr>
            <w:rStyle w:val="762"/>
            <w:sz w:val="20"/>
            <w:szCs w:val="20"/>
            <w:lang w:val="en-US"/>
          </w:rPr>
          <w:t xml:space="preserve">i</w:t>
        </w:r>
        <w:r>
          <w:rPr>
            <w:rStyle w:val="762"/>
            <w:sz w:val="20"/>
            <w:szCs w:val="20"/>
          </w:rPr>
          <w:t xml:space="preserve">.</w:t>
        </w:r>
        <w:r>
          <w:rPr>
            <w:rStyle w:val="762"/>
            <w:sz w:val="20"/>
            <w:szCs w:val="20"/>
            <w:lang w:val="en-US"/>
          </w:rPr>
          <w:t xml:space="preserve">rts</w:t>
        </w:r>
        <w:r>
          <w:rPr>
            <w:rStyle w:val="762"/>
            <w:sz w:val="20"/>
            <w:szCs w:val="20"/>
          </w:rPr>
          <w:t xml:space="preserve">-</w:t>
        </w:r>
        <w:r>
          <w:rPr>
            <w:rStyle w:val="762"/>
            <w:sz w:val="20"/>
            <w:szCs w:val="20"/>
            <w:lang w:val="en-US"/>
          </w:rPr>
          <w:t xml:space="preserve">tender</w:t>
        </w:r>
        <w:r>
          <w:rPr>
            <w:rStyle w:val="762"/>
            <w:sz w:val="20"/>
            <w:szCs w:val="20"/>
          </w:rPr>
          <w:t xml:space="preserve">.</w:t>
        </w:r>
        <w:r>
          <w:rPr>
            <w:rStyle w:val="762"/>
            <w:sz w:val="20"/>
            <w:szCs w:val="20"/>
            <w:lang w:val="en-US"/>
          </w:rPr>
          <w:t xml:space="preserve">ru</w:t>
        </w:r>
      </w:hyperlink>
      <w:r>
        <w:rPr>
          <w:sz w:val="20"/>
          <w:szCs w:val="20"/>
        </w:rPr>
        <w:t xml:space="preserve">  (ООО «РТС-тендер»)</w:t>
      </w:r>
      <w:r>
        <w:rPr>
          <w:sz w:val="20"/>
          <w:szCs w:val="20"/>
          <w:shd w:val="clear" w:color="auto" w:fill="ffffff"/>
        </w:rPr>
        <w:t xml:space="preserve">, на котором размещается информационное сообщение: информационное со</w:t>
      </w:r>
      <w:r>
        <w:rPr>
          <w:sz w:val="20"/>
          <w:szCs w:val="20"/>
          <w:shd w:val="clear" w:color="auto" w:fill="ffffff"/>
        </w:rPr>
        <w:t xml:space="preserve">общение размещается на официальных сайтах торгов и на электронной площадке. С информационным сообщением можно ознакомиться </w:t>
      </w:r>
      <w:r>
        <w:rPr>
          <w:sz w:val="20"/>
          <w:szCs w:val="20"/>
          <w:shd w:val="clear" w:color="auto" w:fill="ffffff"/>
        </w:rPr>
        <w:t xml:space="preserve">с даты размещения</w:t>
      </w:r>
      <w:r>
        <w:rPr>
          <w:sz w:val="20"/>
          <w:szCs w:val="20"/>
          <w:shd w:val="clear" w:color="auto" w:fill="ffffff"/>
        </w:rPr>
        <w:t xml:space="preserve"> информационного сообщения на официальных сайтах: на официальном сайте Российской Федерации для размещения информаци</w:t>
      </w:r>
      <w:r>
        <w:rPr>
          <w:sz w:val="20"/>
          <w:szCs w:val="20"/>
          <w:shd w:val="clear" w:color="auto" w:fill="ffffff"/>
        </w:rPr>
        <w:t xml:space="preserve">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www.rts-tender.ru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7. </w:t>
      </w:r>
      <w:r>
        <w:rPr>
          <w:b/>
          <w:sz w:val="20"/>
          <w:szCs w:val="20"/>
          <w:shd w:val="clear" w:color="auto" w:fill="ffffff"/>
        </w:rPr>
        <w:t xml:space="preserve">Порядок внесения и возврата задатка, банковс</w:t>
      </w:r>
      <w:r>
        <w:rPr>
          <w:b/>
          <w:sz w:val="20"/>
          <w:szCs w:val="20"/>
          <w:shd w:val="clear" w:color="auto" w:fill="ffffff"/>
        </w:rPr>
        <w:t xml:space="preserve">кие реквизиты счета для перечисления задатка.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</w:t>
      </w:r>
      <w:r>
        <w:rPr>
          <w:sz w:val="20"/>
          <w:szCs w:val="20"/>
          <w:shd w:val="clear" w:color="auto" w:fill="ffffff"/>
        </w:rPr>
        <w:t xml:space="preserve">www.rts-tender.ru</w:t>
      </w:r>
      <w:r>
        <w:rPr>
          <w:sz w:val="20"/>
          <w:szCs w:val="20"/>
          <w:shd w:val="clear" w:color="auto" w:fill="ffffff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Для участия в аукционе в электронной форме установлено требование о внесении задатка. В целях исполн</w:t>
      </w:r>
      <w:r>
        <w:rPr>
          <w:sz w:val="20"/>
          <w:szCs w:val="20"/>
          <w:lang w:eastAsia="en-US"/>
        </w:rPr>
        <w:t xml:space="preserve">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white"/>
          <w:lang w:eastAsia="en-US"/>
        </w:rPr>
        <w:t xml:space="preserve">Зачисление денежных средств на счёт Оператора электронной</w:t>
      </w:r>
      <w:r>
        <w:rPr>
          <w:sz w:val="20"/>
          <w:szCs w:val="20"/>
          <w:highlight w:val="white"/>
          <w:lang w:eastAsia="en-US"/>
        </w:rPr>
        <w:t xml:space="preserve"> площадки производится в срок до даты рассмотрения заявок</w:t>
      </w:r>
      <w:r>
        <w:rPr>
          <w:sz w:val="20"/>
          <w:szCs w:val="20"/>
          <w:highlight w:val="white"/>
          <w:shd w:val="clear" w:color="auto" w:fill="ffffff"/>
        </w:rPr>
        <w:t xml:space="preserve"> (не позднее:</w:t>
      </w:r>
      <w:r>
        <w:rPr>
          <w:b/>
          <w:bCs/>
          <w:sz w:val="20"/>
          <w:szCs w:val="20"/>
          <w:highlight w:val="white"/>
          <w:shd w:val="clear" w:color="auto" w:fill="ffffff"/>
        </w:rPr>
        <w:t xml:space="preserve"> 14 июля</w:t>
      </w:r>
      <w:r>
        <w:rPr>
          <w:b/>
          <w:bCs/>
          <w:sz w:val="20"/>
          <w:szCs w:val="20"/>
          <w:highlight w:val="white"/>
          <w:shd w:val="clear" w:color="auto" w:fill="ffffff"/>
        </w:rPr>
        <w:t xml:space="preserve"> 2</w:t>
      </w:r>
      <w:r>
        <w:rPr>
          <w:b/>
          <w:sz w:val="20"/>
          <w:szCs w:val="20"/>
          <w:highlight w:val="white"/>
          <w:shd w:val="clear" w:color="auto" w:fill="ffffff"/>
        </w:rPr>
        <w:t xml:space="preserve">026 года 10 час. 00 мин</w:t>
      </w:r>
      <w:r>
        <w:rPr>
          <w:sz w:val="20"/>
          <w:szCs w:val="20"/>
          <w:highlight w:val="white"/>
          <w:shd w:val="clear" w:color="auto" w:fill="ffffff"/>
        </w:rPr>
        <w:t xml:space="preserve"> время московское)</w:t>
      </w:r>
      <w:r>
        <w:rPr>
          <w:sz w:val="20"/>
          <w:szCs w:val="20"/>
          <w:highlight w:val="white"/>
          <w:lang w:eastAsia="en-US"/>
        </w:rPr>
        <w:t xml:space="preserve"> в соо</w:t>
      </w:r>
      <w:r>
        <w:rPr>
          <w:sz w:val="20"/>
          <w:szCs w:val="20"/>
          <w:lang w:eastAsia="en-US"/>
        </w:rPr>
        <w:t xml:space="preserve">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Получатель п</w:t>
      </w:r>
      <w:r>
        <w:rPr>
          <w:sz w:val="20"/>
          <w:szCs w:val="20"/>
          <w:lang w:eastAsia="en-US"/>
        </w:rPr>
        <w:t xml:space="preserve">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sz w:val="20"/>
          <w:szCs w:val="20"/>
          <w:lang w:eastAsia="en-US"/>
        </w:rPr>
        <w:t xml:space="preserve">Совкомбанк</w:t>
      </w:r>
      <w:r>
        <w:rPr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</w:t>
      </w:r>
      <w:r>
        <w:rPr>
          <w:sz w:val="20"/>
          <w:szCs w:val="20"/>
          <w:lang w:eastAsia="en-US"/>
        </w:rPr>
        <w:t xml:space="preserve">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</w:t>
      </w:r>
      <w:r>
        <w:rPr>
          <w:sz w:val="20"/>
          <w:szCs w:val="20"/>
          <w:lang w:eastAsia="en-US"/>
        </w:rPr>
        <w:t xml:space="preserve">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</w:t>
      </w:r>
      <w:r>
        <w:rPr>
          <w:sz w:val="20"/>
          <w:szCs w:val="20"/>
          <w:lang w:eastAsia="en-US"/>
        </w:rPr>
        <w:t xml:space="preserve">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Заявителю необходимо обеспечить на своем аналитическом счете наличие денежных сре</w:t>
      </w:r>
      <w:r>
        <w:rPr>
          <w:sz w:val="20"/>
          <w:szCs w:val="20"/>
        </w:rPr>
        <w:t xml:space="preserve">дств в р</w:t>
      </w:r>
      <w:r>
        <w:rPr>
          <w:sz w:val="20"/>
          <w:szCs w:val="20"/>
        </w:rPr>
        <w:t xml:space="preserve">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задатка для участия в аукционе на дату рассмотрения заявок;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гарантийного обеспечения оплаты оказания услуг к моменту подачи заявки.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Прекращение блокировани</w:t>
      </w:r>
      <w:r>
        <w:rPr>
          <w:sz w:val="20"/>
          <w:szCs w:val="20"/>
          <w:lang w:eastAsia="en-US"/>
        </w:rPr>
        <w:t xml:space="preserve">я денежных средств на счете Заявителя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Заявителя, отозвавшего Заявку до окончания срока</w:t>
      </w:r>
      <w:r>
        <w:rPr>
          <w:sz w:val="20"/>
          <w:szCs w:val="20"/>
          <w:lang w:eastAsia="en-US"/>
        </w:rPr>
        <w:t xml:space="preserve">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Заявителя, не допущенного к участию в аукционе в элек</w:t>
      </w:r>
      <w:r>
        <w:rPr>
          <w:sz w:val="20"/>
          <w:szCs w:val="20"/>
          <w:lang w:eastAsia="en-US"/>
        </w:rPr>
        <w:t xml:space="preserve">тронной форме, - в течение 3 (трех) рабочих дней со дня оформления Протокола рассмотрения заявок на участие в аукционе в электронной форме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Участников, </w:t>
      </w:r>
      <w:r>
        <w:rPr>
          <w:sz w:val="20"/>
          <w:szCs w:val="20"/>
          <w:lang w:eastAsia="en-US"/>
        </w:rPr>
        <w:t xml:space="preserve">участвовавших в аукционе в электронной форме, но не победивших в нем, - в течение 3 (трех) рабочих дней со дня подписания Протокола о результатах аукциона в электронной форме в соответствии с Регламентом Оператора электронной площадки, размещенными на элек</w:t>
      </w:r>
      <w:r>
        <w:rPr>
          <w:sz w:val="20"/>
          <w:szCs w:val="20"/>
          <w:lang w:eastAsia="en-US"/>
        </w:rPr>
        <w:t xml:space="preserve">тронной площадке, за исключением участника аукциона, который сделал предпоследнее предложение о цене предмета аукциона.</w:t>
      </w:r>
      <w:r>
        <w:rPr>
          <w:sz w:val="20"/>
          <w:szCs w:val="20"/>
          <w:lang w:eastAsia="en-US"/>
        </w:rPr>
        <w:t xml:space="preserve"> Задаток, внесенный таким участником, возвращается ему в течение трех дней со дня подписания договора купли-продажи земельного участка по</w:t>
      </w:r>
      <w:r>
        <w:rPr>
          <w:sz w:val="20"/>
          <w:szCs w:val="20"/>
          <w:lang w:eastAsia="en-US"/>
        </w:rPr>
        <w:t xml:space="preserve">бедителем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пунктом 13, 14, 20 или 25 </w:t>
      </w:r>
      <w:r>
        <w:rPr>
          <w:sz w:val="20"/>
          <w:szCs w:val="20"/>
        </w:rPr>
        <w:t xml:space="preserve">Земельного кодекса Российской Федерации </w:t>
      </w:r>
      <w:r>
        <w:rPr>
          <w:sz w:val="20"/>
          <w:szCs w:val="20"/>
        </w:rPr>
        <w:t xml:space="preserve">(далее – Кодекс)</w:t>
      </w:r>
      <w:r>
        <w:rPr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участка вследствие уклонения от заключения указанных договоров, </w:t>
      </w:r>
      <w:r>
        <w:rPr>
          <w:sz w:val="20"/>
          <w:szCs w:val="20"/>
          <w:lang w:eastAsia="en-US"/>
        </w:rPr>
        <w:t xml:space="preserve">не возвращаются.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</w:rPr>
        <w:t xml:space="preserve">9. </w:t>
      </w:r>
      <w:r>
        <w:rPr>
          <w:sz w:val="20"/>
          <w:szCs w:val="20"/>
        </w:rPr>
        <w:t xml:space="preserve">Взимание оператором электронной площадки с победителя электронного аукциона или иных лиц, с которыми в соответствии с пунктами 13, 14,</w:t>
      </w:r>
      <w:r>
        <w:rPr>
          <w:sz w:val="20"/>
          <w:szCs w:val="20"/>
        </w:rPr>
        <w:t xml:space="preserve"> 20 и 25 статьи 39.12 Кодекса заключается договор купли-продажи земельного 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</w:t>
      </w:r>
      <w:r>
        <w:rPr>
          <w:sz w:val="20"/>
          <w:szCs w:val="20"/>
        </w:rPr>
        <w:t xml:space="preserve">ментами оператора электронной площадки </w:t>
      </w:r>
      <w:hyperlink r:id="rId11" w:tooltip="https://www.rts-tender.ru/" w:history="1">
        <w:r>
          <w:rPr>
            <w:rStyle w:val="762"/>
            <w:sz w:val="20"/>
            <w:szCs w:val="20"/>
          </w:rPr>
          <w:t xml:space="preserve">https://www.rts-tender.ru/</w:t>
        </w:r>
      </w:hyperlink>
      <w:r>
        <w:rPr>
          <w:sz w:val="20"/>
          <w:szCs w:val="20"/>
        </w:rPr>
        <w:t xml:space="preserve"> (ООО «РТС-тендер</w:t>
      </w:r>
      <w:r>
        <w:rPr>
          <w:sz w:val="20"/>
          <w:szCs w:val="20"/>
        </w:rPr>
        <w:t xml:space="preserve">») во вкладке ТАРИФЫ/</w:t>
      </w:r>
      <w:r>
        <w:rPr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10</w:t>
      </w:r>
      <w:r>
        <w:rPr>
          <w:b/>
          <w:sz w:val="20"/>
          <w:szCs w:val="20"/>
          <w:highlight w:val="white"/>
        </w:rPr>
        <w:t xml:space="preserve">.</w:t>
      </w:r>
      <w:r>
        <w:rPr>
          <w:sz w:val="20"/>
          <w:szCs w:val="20"/>
          <w:highlight w:val="white"/>
        </w:rPr>
        <w:t xml:space="preserve"> </w:t>
      </w:r>
      <w:r>
        <w:rPr>
          <w:b/>
          <w:sz w:val="20"/>
          <w:szCs w:val="20"/>
          <w:highlight w:val="white"/>
        </w:rPr>
        <w:t xml:space="preserve">Место, дата, время и порядок определения участников аук</w:t>
      </w:r>
      <w:r>
        <w:rPr>
          <w:b/>
          <w:sz w:val="20"/>
          <w:szCs w:val="20"/>
          <w:highlight w:val="white"/>
        </w:rPr>
        <w:t xml:space="preserve">циона: 14 июля</w:t>
      </w:r>
      <w:r>
        <w:rPr>
          <w:b/>
          <w:sz w:val="20"/>
          <w:szCs w:val="20"/>
          <w:highlight w:val="white"/>
        </w:rPr>
        <w:t xml:space="preserve"> 2026 года в 10 час. 00 мин</w:t>
      </w:r>
      <w:r>
        <w:rPr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2"/>
            <w:sz w:val="20"/>
            <w:szCs w:val="20"/>
            <w:highlight w:val="white"/>
          </w:rPr>
          <w:t xml:space="preserve">www.rts-tender.ru</w:t>
        </w:r>
      </w:hyperlink>
      <w:r>
        <w:rPr>
          <w:sz w:val="20"/>
          <w:szCs w:val="20"/>
          <w:highlight w:val="white"/>
        </w:rPr>
        <w:t xml:space="preserve"> 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Организатор рассматривает заявки и документы заявителей (претендентов) и устанавл</w:t>
      </w:r>
      <w:r>
        <w:rPr>
          <w:sz w:val="20"/>
          <w:szCs w:val="20"/>
        </w:rPr>
        <w:t xml:space="preserve">ивает факт поступления на счёт установленных сумм задатков.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</w:t>
      </w:r>
      <w:r>
        <w:rPr>
          <w:sz w:val="20"/>
          <w:szCs w:val="20"/>
        </w:rPr>
        <w:t xml:space="preserve">трения заявок на участие в аукционе.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11. </w:t>
      </w:r>
      <w:r>
        <w:rPr>
          <w:b/>
          <w:bCs/>
          <w:sz w:val="20"/>
          <w:szCs w:val="20"/>
          <w:highlight w:val="white"/>
        </w:rPr>
        <w:t xml:space="preserve">Дата, место, время и порядок проведения аукциона: 15 июля</w:t>
      </w:r>
      <w:r>
        <w:rPr>
          <w:b/>
          <w:bCs/>
          <w:sz w:val="20"/>
          <w:szCs w:val="20"/>
          <w:highlight w:val="white"/>
        </w:rPr>
        <w:t xml:space="preserve">  2026 года в 10 час. 00 мин. </w:t>
      </w:r>
      <w:r>
        <w:rPr>
          <w:sz w:val="20"/>
          <w:szCs w:val="20"/>
          <w:highlight w:val="white"/>
        </w:rPr>
        <w:t xml:space="preserve">на электронной площадке </w:t>
      </w:r>
      <w:hyperlink r:id="rId13" w:tooltip="https://www.rts-tender.ru/" w:history="1">
        <w:r>
          <w:rPr>
            <w:color w:val="0000ff"/>
            <w:sz w:val="20"/>
            <w:szCs w:val="20"/>
            <w:highlight w:val="white"/>
            <w:u w:val="single"/>
          </w:rPr>
          <w:t xml:space="preserve">https://www.rts-tender.ru/</w:t>
        </w:r>
      </w:hyperlink>
      <w:r>
        <w:rPr>
          <w:sz w:val="20"/>
          <w:szCs w:val="20"/>
          <w:highlight w:val="white"/>
        </w:rPr>
        <w:t xml:space="preserve"> (ООО </w:t>
      </w:r>
      <w:r>
        <w:rPr>
          <w:sz w:val="20"/>
          <w:szCs w:val="20"/>
          <w:highlight w:val="white"/>
        </w:rPr>
        <w:t xml:space="preserve">«РТС-тендер») в соответствии с регламентом </w:t>
      </w:r>
      <w:r>
        <w:rPr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13. </w:t>
      </w:r>
      <w:r>
        <w:rPr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</w:t>
      </w:r>
      <w:r>
        <w:rPr>
          <w:color w:val="000000"/>
          <w:sz w:val="20"/>
          <w:szCs w:val="20"/>
        </w:rPr>
        <w:t xml:space="preserve"> в государственной или муниципальной собственности, 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Не допускается заключение договора </w:t>
      </w:r>
      <w:r>
        <w:rPr>
          <w:sz w:val="20"/>
          <w:szCs w:val="20"/>
        </w:rPr>
        <w:t xml:space="preserve">ранее</w:t>
      </w:r>
      <w:r>
        <w:rPr>
          <w:sz w:val="20"/>
          <w:szCs w:val="20"/>
        </w:rPr>
        <w:t xml:space="preserve"> чем через 10 (десять) дней со дня размещен</w:t>
      </w:r>
      <w:r>
        <w:rPr>
          <w:sz w:val="20"/>
          <w:szCs w:val="20"/>
        </w:rPr>
        <w:t xml:space="preserve">ия информации о результатах аукциона на официальном сайте, в том числе договоров, указанных в пунктах 13 и 14 Кодекса.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0"/>
          <w:szCs w:val="20"/>
        </w:rPr>
        <w:t xml:space="preserve">В случае</w:t>
      </w:r>
      <w:r>
        <w:rPr>
          <w:color w:val="000000"/>
          <w:sz w:val="20"/>
          <w:szCs w:val="20"/>
        </w:rPr>
        <w:t xml:space="preserve">,</w:t>
      </w:r>
      <w:r>
        <w:rPr>
          <w:color w:val="000000"/>
          <w:sz w:val="20"/>
          <w:szCs w:val="20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</w:t>
      </w:r>
      <w:r>
        <w:rPr>
          <w:color w:val="000000"/>
          <w:sz w:val="20"/>
          <w:szCs w:val="20"/>
        </w:rPr>
        <w:t xml:space="preserve">бо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</w:t>
      </w:r>
      <w:r>
        <w:rPr>
          <w:color w:val="000000"/>
          <w:sz w:val="20"/>
          <w:szCs w:val="20"/>
        </w:rPr>
        <w:t xml:space="preserve">ии ау</w:t>
      </w:r>
      <w:r>
        <w:rPr>
          <w:color w:val="000000"/>
          <w:sz w:val="20"/>
          <w:szCs w:val="20"/>
        </w:rPr>
        <w:t xml:space="preserve">кциона условиям и лицо, подавшее указанную заявку, соответствуют требованиям к участникам аукциона, указанным в извещении о проведении аукциона, Организатор з</w:t>
      </w:r>
      <w:r>
        <w:rPr>
          <w:color w:val="000000"/>
          <w:sz w:val="20"/>
          <w:szCs w:val="20"/>
        </w:rPr>
        <w:t xml:space="preserve">аключает с таким лицом договор купли – продажи земельного участка по начальной цене предмета.</w:t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</w:t>
      </w:r>
      <w:r>
        <w:rPr>
          <w:sz w:val="20"/>
          <w:szCs w:val="20"/>
        </w:rPr>
        <w:t xml:space="preserve">участка в пятидневный срок со дня истечения 10 (десяти) дней после размещения информации о результатах аукциона на официальном сайте.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</w:t>
      </w:r>
      <w:r>
        <w:rPr>
          <w:sz w:val="20"/>
          <w:szCs w:val="20"/>
        </w:rPr>
        <w:t xml:space="preserve">аключения указанного договора с единственным принявшим участие в аукционе его участником по начальной цене предмета аукциона.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земельного участка в соответ</w:t>
      </w:r>
      <w:r>
        <w:rPr>
          <w:sz w:val="20"/>
          <w:szCs w:val="20"/>
          <w:lang w:eastAsia="en-US"/>
        </w:rPr>
        <w:t xml:space="preserve">ствии с Кодексом, обязаны подписать договор в течение 10 (десяти) рабочих дней со дня направления им такого договора.</w:t>
      </w:r>
      <w:r>
        <w:rPr>
          <w:sz w:val="20"/>
          <w:szCs w:val="20"/>
          <w:lang w:eastAsia="en-US"/>
        </w:rPr>
      </w:r>
      <w:r>
        <w:rPr>
          <w:sz w:val="20"/>
          <w:szCs w:val="20"/>
          <w:lang w:eastAsia="en-US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</w:t>
      </w:r>
      <w:r>
        <w:rPr>
          <w:sz w:val="20"/>
          <w:szCs w:val="20"/>
          <w:lang w:eastAsia="en-US"/>
        </w:rPr>
        <w:t xml:space="preserve">го договора не был им подписан и представлен Организатору, Организатор направляет указанный договор участнику аукциона, который сделал предпоследнее предложение о цене предмета аукциона, для их заключения по цене, предложенной таким участником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Св</w:t>
      </w:r>
      <w:r>
        <w:rPr>
          <w:sz w:val="20"/>
          <w:szCs w:val="20"/>
          <w:lang w:eastAsia="en-US"/>
        </w:rPr>
        <w:t xml:space="preserve">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пунктом 13, 14, 20 или 25 Кодекса и которые ук</w:t>
      </w:r>
      <w:r>
        <w:rPr>
          <w:sz w:val="20"/>
          <w:szCs w:val="20"/>
          <w:lang w:eastAsia="en-US"/>
        </w:rPr>
        <w:t xml:space="preserve">лонились от их заключения, Организатор направляет сведения в Федеральную антимонопольную службу России для включения в реестр недобросовестных участников аукциона.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В случае</w:t>
      </w:r>
      <w:r>
        <w:rPr>
          <w:sz w:val="20"/>
          <w:szCs w:val="20"/>
          <w:lang w:eastAsia="en-US"/>
        </w:rPr>
        <w:t xml:space="preserve">,</w:t>
      </w:r>
      <w:r>
        <w:rPr>
          <w:sz w:val="20"/>
          <w:szCs w:val="20"/>
          <w:lang w:eastAsia="en-US"/>
        </w:rPr>
        <w:t xml:space="preserve"> если в течение 10 (десяти) рабочих дней со дня направления Участнику, который сд</w:t>
      </w:r>
      <w:r>
        <w:rPr>
          <w:sz w:val="20"/>
          <w:szCs w:val="20"/>
          <w:lang w:eastAsia="en-US"/>
        </w:rPr>
        <w:t xml:space="preserve">елал предпоследнее предложение о цене Предмета аукциона, этот Участник не представил Организатору подписанный со своей стороны указанный договор, Организатор вправе объявить о проведении повторного аукциона в электронной форме или распорядиться земельным у</w:t>
      </w:r>
      <w:r>
        <w:rPr>
          <w:sz w:val="20"/>
          <w:szCs w:val="20"/>
          <w:lang w:eastAsia="en-US"/>
        </w:rPr>
        <w:t xml:space="preserve">частком иным образом в соответствии с Кодексом.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  <w:lang w:eastAsia="en-US"/>
        </w:rPr>
        <w:t xml:space="preserve">14. </w:t>
      </w:r>
      <w:r>
        <w:rPr>
          <w:sz w:val="20"/>
          <w:szCs w:val="20"/>
        </w:rPr>
        <w:t xml:space="preserve">Организатор 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течение 3 (трех) дней со дня принятия решения об</w:t>
      </w:r>
      <w:r>
        <w:rPr>
          <w:sz w:val="20"/>
          <w:szCs w:val="20"/>
        </w:rPr>
        <w:t xml:space="preserve"> отказе в проведен</w:t>
      </w:r>
      <w:r>
        <w:rPr>
          <w:sz w:val="20"/>
          <w:szCs w:val="20"/>
        </w:rPr>
        <w:t xml:space="preserve">ии ау</w:t>
      </w:r>
      <w:r>
        <w:rPr>
          <w:sz w:val="20"/>
          <w:szCs w:val="20"/>
        </w:rPr>
        <w:t xml:space="preserve">кциона организатор аукциона обязан известить участников аукциона об отказе в проведении аукциона и возвратить его участникам внесенные задатки.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15</w:t>
      </w:r>
      <w:r>
        <w:rPr>
          <w:sz w:val="20"/>
          <w:szCs w:val="20"/>
        </w:rPr>
        <w:t xml:space="preserve">. Градостроительный план земельного участка </w:t>
      </w:r>
      <w:r>
        <w:rPr>
          <w:sz w:val="20"/>
          <w:szCs w:val="20"/>
        </w:rPr>
        <w:t xml:space="preserve">от 11.11.2025 № РФ-44-2-01-0-00-2025-0741-0, от 11.11.2025 № РФ-44-2-01-0-00-2025-0743-0  являются приложением к настоящему извещению (приложение 3)</w:t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Ознакомиться с градостроительным планом земельного участка возможно на официальном сайте Российской Федерац</w:t>
      </w:r>
      <w:r>
        <w:rPr>
          <w:color w:val="000000"/>
          <w:sz w:val="20"/>
          <w:szCs w:val="20"/>
        </w:rPr>
        <w:t xml:space="preserve">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(http://grad.kostroma.gov.ru)</w:t>
      </w:r>
      <w:r>
        <w:rPr>
          <w:color w:val="000000"/>
          <w:sz w:val="20"/>
          <w:szCs w:val="20"/>
        </w:rPr>
        <w:t xml:space="preserve">, н</w:t>
      </w:r>
      <w:r>
        <w:rPr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2"/>
            <w:sz w:val="20"/>
            <w:szCs w:val="20"/>
            <w:highlight w:val="white"/>
          </w:rPr>
          <w:t xml:space="preserve">www.rts-tender.ru</w:t>
        </w:r>
      </w:hyperlink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(ООО «РТС-тендер»)</w:t>
      </w:r>
      <w:r>
        <w:br w:type="page" w:clear="all"/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</w:t>
      </w:r>
      <w:r>
        <w:rPr>
          <w:b/>
          <w:sz w:val="19"/>
          <w:szCs w:val="19"/>
          <w:lang w:eastAsia="zh-CN"/>
        </w:rPr>
        <w:t xml:space="preserve">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                                                  № 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выдан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</w:t>
            </w:r>
            <w:r>
              <w:rPr>
                <w:b/>
                <w:sz w:val="16"/>
                <w:szCs w:val="18"/>
                <w:lang w:eastAsia="zh-CN"/>
              </w:rPr>
              <w:t xml:space="preserve">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выдан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</w:t>
      </w:r>
      <w:r>
        <w:rPr>
          <w:b/>
          <w:sz w:val="18"/>
          <w:szCs w:val="18"/>
          <w:lang w:eastAsia="zh-CN"/>
        </w:rPr>
        <w:t xml:space="preserve">номером:_______________________________________</w:t>
      </w:r>
      <w:r>
        <w:rPr>
          <w:b/>
          <w:sz w:val="18"/>
          <w:szCs w:val="18"/>
          <w:lang w:eastAsia="zh-CN"/>
        </w:rPr>
        <w:t xml:space="preserve">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</w:t>
      </w:r>
      <w:r>
        <w:rPr>
          <w:b/>
          <w:sz w:val="18"/>
          <w:szCs w:val="18"/>
          <w:lang w:eastAsia="zh-CN"/>
        </w:rPr>
        <w:t xml:space="preserve">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</w:t>
      </w:r>
      <w:r>
        <w:rPr>
          <w:sz w:val="18"/>
          <w:szCs w:val="18"/>
        </w:rPr>
        <w:t xml:space="preserve">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прове</w:t>
      </w:r>
      <w:r>
        <w:rPr>
          <w:sz w:val="18"/>
          <w:szCs w:val="18"/>
          <w:lang w:eastAsia="zh-CN"/>
        </w:rPr>
        <w:t xml:space="preserve">дения аукциона в электронной форме, содержащиеся в Извещении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предусмотренных пункта</w:t>
      </w:r>
      <w:r>
        <w:rPr>
          <w:sz w:val="18"/>
          <w:szCs w:val="18"/>
          <w:lang w:eastAsia="zh-CN"/>
        </w:rPr>
        <w:t xml:space="preserve">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принимае</w:t>
      </w:r>
      <w:r>
        <w:rPr>
          <w:sz w:val="18"/>
          <w:szCs w:val="18"/>
          <w:lang w:eastAsia="zh-CN"/>
        </w:rPr>
        <w:t xml:space="preserve">т все условия, требования, положения Извещения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</w:t>
      </w:r>
      <w:r>
        <w:rPr>
          <w:sz w:val="18"/>
          <w:szCs w:val="18"/>
          <w:lang w:eastAsia="zh-CN"/>
        </w:rPr>
        <w:t xml:space="preserve">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</w:t>
      </w:r>
      <w:r>
        <w:rPr>
          <w:sz w:val="18"/>
          <w:szCs w:val="18"/>
          <w:lang w:eastAsia="zh-CN"/>
        </w:rPr>
        <w:t xml:space="preserve">, установленном в Извещении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</w:t>
      </w:r>
      <w:r>
        <w:rPr>
          <w:sz w:val="18"/>
          <w:szCs w:val="18"/>
          <w:lang w:eastAsia="zh-CN"/>
        </w:rPr>
        <w:t xml:space="preserve">дств в к</w:t>
      </w:r>
      <w:r>
        <w:rPr>
          <w:sz w:val="18"/>
          <w:szCs w:val="18"/>
          <w:lang w:eastAsia="zh-CN"/>
        </w:rPr>
        <w:t xml:space="preserve">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</w:t>
      </w:r>
      <w:r>
        <w:rPr>
          <w:sz w:val="18"/>
          <w:szCs w:val="18"/>
          <w:lang w:eastAsia="zh-CN"/>
        </w:rPr>
        <w:t xml:space="preserve">ляет о своем соответствии условиям отнесения к субъектам малого и среднего предпринимательства в соответствии с частью 5 статьи 4 Федерального закона от 24.07.2007 № 209-ФЗ «О развитии малого и среднего предпринимательства в Российской Федерации» (в случае</w:t>
      </w:r>
      <w:r>
        <w:rPr>
          <w:sz w:val="18"/>
          <w:szCs w:val="18"/>
          <w:lang w:eastAsia="zh-CN"/>
        </w:rPr>
        <w:t xml:space="preserve">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</w:t>
      </w:r>
      <w:r>
        <w:rPr>
          <w:sz w:val="18"/>
          <w:szCs w:val="18"/>
          <w:lang w:eastAsia="zh-CN"/>
        </w:rPr>
        <w:t xml:space="preserve">рб, который может быть причинен Заявителю отменой аукциона в электронной форме, внесением изменений в Извещение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форме, а также приостановлением процедуры проведения аукциона в электронной форме. </w:t>
      </w:r>
      <w:r>
        <w:rPr>
          <w:sz w:val="18"/>
          <w:szCs w:val="18"/>
          <w:lang w:eastAsia="zh-CN"/>
        </w:rPr>
        <w:t xml:space="preserve">При этом Заявитель считае</w:t>
      </w:r>
      <w:r>
        <w:rPr>
          <w:sz w:val="18"/>
          <w:szCs w:val="18"/>
          <w:lang w:eastAsia="zh-CN"/>
        </w:rPr>
        <w:t xml:space="preserve">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</w:t>
      </w:r>
      <w:r>
        <w:rPr>
          <w:sz w:val="18"/>
          <w:szCs w:val="18"/>
          <w:lang w:eastAsia="zh-CN"/>
        </w:rPr>
        <w:t xml:space="preserve">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>
        <w:rPr>
          <w:sz w:val="18"/>
          <w:szCs w:val="18"/>
          <w:lang w:eastAsia="zh-CN"/>
        </w:rPr>
        <w:t xml:space="preserve">www.torgi.gov</w:t>
      </w:r>
      <w:r>
        <w:rPr>
          <w:sz w:val="18"/>
          <w:szCs w:val="18"/>
          <w:lang w:eastAsia="zh-CN"/>
        </w:rPr>
        <w:t xml:space="preserve">.</w:t>
      </w:r>
      <w:r>
        <w:rPr>
          <w:color w:val="000000"/>
          <w:sz w:val="18"/>
          <w:szCs w:val="18"/>
          <w:lang w:eastAsia="zh-CN"/>
        </w:rPr>
        <w:t xml:space="preserve">ruи</w:t>
      </w:r>
      <w:r>
        <w:rPr>
          <w:color w:val="000000"/>
          <w:sz w:val="18"/>
          <w:szCs w:val="18"/>
          <w:lang w:eastAsia="zh-CN"/>
        </w:rPr>
        <w:t xml:space="preserve"> </w:t>
      </w:r>
      <w:r>
        <w:rPr>
          <w:color w:val="000000"/>
          <w:sz w:val="18"/>
          <w:szCs w:val="18"/>
          <w:lang w:eastAsia="zh-CN"/>
        </w:rPr>
        <w:t xml:space="preserve">сайте</w:t>
      </w:r>
      <w:r>
        <w:rPr>
          <w:color w:val="000000"/>
          <w:sz w:val="18"/>
          <w:szCs w:val="18"/>
          <w:lang w:eastAsia="zh-CN"/>
        </w:rPr>
        <w:t xml:space="preserve">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Федеральным закон</w:t>
      </w:r>
      <w:r>
        <w:rPr>
          <w:sz w:val="18"/>
          <w:szCs w:val="18"/>
          <w:lang w:eastAsia="zh-CN"/>
        </w:rPr>
        <w:t xml:space="preserve">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</w:t>
      </w:r>
      <w:r>
        <w:rPr>
          <w:sz w:val="18"/>
          <w:szCs w:val="18"/>
          <w:lang w:eastAsia="zh-CN"/>
        </w:rPr>
        <w:t xml:space="preserve">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</w:t>
      </w:r>
      <w:r>
        <w:rPr>
          <w:sz w:val="18"/>
          <w:szCs w:val="18"/>
          <w:lang w:eastAsia="zh-CN"/>
        </w:rPr>
        <w:t xml:space="preserve">, уничтожение персональных данных, оп</w:t>
      </w:r>
      <w:r>
        <w:rPr>
          <w:sz w:val="18"/>
          <w:szCs w:val="18"/>
          <w:lang w:eastAsia="zh-CN"/>
        </w:rPr>
        <w:t xml:space="preserve">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</w:t>
      </w:r>
      <w:r>
        <w:rPr>
          <w:sz w:val="18"/>
          <w:szCs w:val="18"/>
          <w:lang w:eastAsia="zh-CN"/>
        </w:rPr>
        <w:t xml:space="preserve">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2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666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Документ_ЭлПодпись_Организация_Участник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 на основании ________________________, именуемый в дальнейшем «Продавец», с одной стороны, и _________________________________</w:t>
      </w:r>
      <w:r>
        <w:rPr>
          <w:color w:val="000000"/>
          <w:sz w:val="20"/>
          <w:szCs w:val="20"/>
        </w:rPr>
        <w:t xml:space="preserve">_________, в лице ________________________________________, действующего на основании _____________________, именуемый в дальнейшем «Покупатель», с другой стороны, совместно именуемые «Стороны», на основании протокола о результатах аукциона по продаже земе</w:t>
      </w:r>
      <w:r>
        <w:rPr>
          <w:color w:val="000000"/>
          <w:sz w:val="20"/>
          <w:szCs w:val="20"/>
        </w:rPr>
        <w:t xml:space="preserve">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color w:val="000000"/>
          <w:sz w:val="20"/>
          <w:szCs w:val="20"/>
          <w:vertAlign w:val="superscript"/>
        </w:rPr>
        <w:t xml:space="preserve">2</w:t>
      </w:r>
      <w:r>
        <w:rPr>
          <w:color w:val="000000"/>
          <w:sz w:val="20"/>
          <w:szCs w:val="20"/>
        </w:rPr>
        <w:t xml:space="preserve"> с када</w:t>
      </w:r>
      <w:r>
        <w:rPr>
          <w:color w:val="000000"/>
          <w:sz w:val="20"/>
          <w:szCs w:val="20"/>
        </w:rPr>
        <w:t xml:space="preserve">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color w:val="000000"/>
          <w:sz w:val="20"/>
          <w:szCs w:val="20"/>
        </w:rPr>
        <w:t xml:space="preserve">адресу:___________________________________</w:t>
      </w:r>
      <w:r>
        <w:rPr>
          <w:color w:val="000000"/>
          <w:sz w:val="20"/>
          <w:szCs w:val="20"/>
        </w:rPr>
        <w:t xml:space="preserve">, а Покупатель обязуется принять земельный участок и уплатить за него о</w:t>
      </w:r>
      <w:r>
        <w:rPr>
          <w:color w:val="000000"/>
          <w:sz w:val="20"/>
          <w:szCs w:val="20"/>
        </w:rPr>
        <w:t xml:space="preserve">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color w:val="000000"/>
          <w:sz w:val="20"/>
          <w:szCs w:val="20"/>
        </w:rPr>
        <w:t xml:space="preserve">Росреестра</w:t>
      </w:r>
      <w:r>
        <w:rPr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1.3. Земельный участок обременен _______________________________</w:t>
      </w:r>
      <w:r>
        <w:rPr>
          <w:color w:val="000000"/>
          <w:sz w:val="20"/>
          <w:szCs w:val="20"/>
        </w:rPr>
        <w:t xml:space="preserve">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(</w:t>
      </w:r>
      <w:r>
        <w:rPr>
          <w:sz w:val="20"/>
          <w:szCs w:val="20"/>
          <w:highlight w:val="white"/>
        </w:rPr>
        <w:t xml:space="preserve">Получатель УФК по Костромской области (Управление имуществе</w:t>
      </w:r>
      <w:r>
        <w:rPr>
          <w:sz w:val="20"/>
          <w:szCs w:val="20"/>
          <w:highlight w:val="white"/>
        </w:rPr>
        <w:t xml:space="preserve">нных и земельных отношений Администрации города Костромы); ИНН / КПП 4401006568 / 440101001; Единый казначейский счет 40102810145370000103; Казначейский счет 03100643000000014100; </w:t>
      </w:r>
      <w:r>
        <w:rPr>
          <w:sz w:val="20"/>
          <w:szCs w:val="20"/>
          <w:highlight w:val="white"/>
        </w:rPr>
        <w:t xml:space="preserve">Банк получателя ОКЦ № 1 ВОЛГО-ВЯТСКОЕ ГУ БАНКА РОССИИ//УФК по Костромской об</w:t>
      </w:r>
      <w:r>
        <w:rPr>
          <w:sz w:val="20"/>
          <w:szCs w:val="20"/>
          <w:highlight w:val="white"/>
        </w:rPr>
        <w:t xml:space="preserve">ласти, г. Кострома; БИК ТОФК 042202103; ОКТМО 34701000, КБК 96611406012040000430</w:t>
      </w:r>
      <w:r>
        <w:rPr>
          <w:sz w:val="20"/>
          <w:szCs w:val="20"/>
          <w:highlight w:val="white"/>
        </w:rPr>
        <w:t xml:space="preserve">, назн</w:t>
      </w:r>
      <w:r>
        <w:rPr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</w:t>
      </w:r>
      <w:r>
        <w:rPr>
          <w:color w:val="000000"/>
          <w:sz w:val="20"/>
          <w:szCs w:val="20"/>
        </w:rPr>
        <w:t xml:space="preserve"> сумме </w:t>
      </w:r>
      <w:r>
        <w:rPr>
          <w:color w:val="000000"/>
          <w:sz w:val="20"/>
          <w:szCs w:val="20"/>
        </w:rPr>
        <w:t xml:space="preserve">_________рублей</w:t>
      </w:r>
      <w:r>
        <w:rPr>
          <w:color w:val="000000"/>
          <w:sz w:val="20"/>
          <w:szCs w:val="20"/>
        </w:rPr>
        <w:t xml:space="preserve">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2.3. Факт перечисления денежных средств, указанных в пункте 2.2 настоящего договора, подтверждается выпиской Управления федерального казначейства по Костромской </w:t>
      </w:r>
      <w:r>
        <w:rPr>
          <w:color w:val="000000"/>
          <w:sz w:val="20"/>
          <w:szCs w:val="20"/>
        </w:rPr>
        <w:t xml:space="preserve">области с лицевого счета Продавца о поступлении денежных сре</w:t>
      </w:r>
      <w:r>
        <w:rPr>
          <w:color w:val="000000"/>
          <w:sz w:val="20"/>
          <w:szCs w:val="20"/>
        </w:rPr>
        <w:t xml:space="preserve">дств в б</w:t>
      </w:r>
      <w:r>
        <w:rPr>
          <w:color w:val="000000"/>
          <w:sz w:val="20"/>
          <w:szCs w:val="20"/>
        </w:rPr>
        <w:t xml:space="preserve">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2.4. Обязательство Покупателя по оплате земельного участка считается исполненным надлежащим образом в случае, ес</w:t>
      </w:r>
      <w:r>
        <w:rPr>
          <w:color w:val="000000"/>
          <w:sz w:val="20"/>
          <w:szCs w:val="20"/>
        </w:rPr>
        <w:t xml:space="preserve">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земельного участка Продавцом и принятие его Покупателем оформляется подписываемым Сторонами актом приема-передачи. Обязатель</w:t>
      </w:r>
      <w:r>
        <w:rPr>
          <w:color w:val="000000"/>
          <w:sz w:val="20"/>
          <w:szCs w:val="20"/>
        </w:rPr>
        <w:t xml:space="preserve">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3.2.1. </w:t>
      </w:r>
      <w:r>
        <w:rPr>
          <w:color w:val="000000"/>
          <w:sz w:val="20"/>
          <w:szCs w:val="20"/>
        </w:rPr>
        <w:t xml:space="preserve">оплатить стоимость земельного</w:t>
      </w:r>
      <w:r>
        <w:rPr>
          <w:color w:val="000000"/>
          <w:sz w:val="20"/>
          <w:szCs w:val="20"/>
        </w:rPr>
        <w:t xml:space="preserve"> участка в размере, сроки и в порядке, установленные наст</w:t>
      </w:r>
      <w:r>
        <w:rPr>
          <w:color w:val="000000"/>
          <w:sz w:val="20"/>
          <w:szCs w:val="20"/>
        </w:rPr>
        <w:t xml:space="preserve">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</w:t>
      </w:r>
      <w:r>
        <w:rPr>
          <w:color w:val="000000"/>
          <w:sz w:val="20"/>
          <w:szCs w:val="20"/>
        </w:rPr>
        <w:t xml:space="preserve">договора в соответствии с законодательством Российской Федерации.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и/или неполное их перечисление, Покупатель уплачивает Продавцу неустойку в виде пени за каж</w:t>
      </w:r>
      <w:r>
        <w:rPr>
          <w:color w:val="000000"/>
          <w:sz w:val="20"/>
          <w:szCs w:val="20"/>
        </w:rPr>
        <w:t xml:space="preserve">дый день просрочки в размере 1/150 ставки рефинансирования Центрального Банка Российской Федерации, действующей на дату выполнения денежного обязательства. </w:t>
      </w:r>
      <w:r>
        <w:rPr>
          <w:sz w:val="20"/>
          <w:szCs w:val="20"/>
          <w:highlight w:val="white"/>
        </w:rPr>
        <w:t xml:space="preserve">Получатель УФК по Костромской области (Управление имущественных и земельных отношений Администрации </w:t>
      </w:r>
      <w:r>
        <w:rPr>
          <w:sz w:val="20"/>
          <w:szCs w:val="20"/>
          <w:highlight w:val="white"/>
        </w:rPr>
        <w:t xml:space="preserve">города Костромы); ИНН / КПП 4401006568 / 440101001; Единый казначейский счет 40102810145370000103;Казначейский счет 03100643000000014100; Банк получателя ОКЦ № 1 ВОЛГО-ВЯТСКОЕ ГУ БАНКА РОССИИ//УФК по Костромской области, </w:t>
      </w:r>
      <w:r>
        <w:rPr>
          <w:sz w:val="20"/>
          <w:szCs w:val="20"/>
          <w:highlight w:val="white"/>
        </w:rPr>
        <w:t xml:space="preserve">г</w:t>
      </w:r>
      <w:r>
        <w:rPr>
          <w:sz w:val="20"/>
          <w:szCs w:val="20"/>
          <w:highlight w:val="white"/>
        </w:rPr>
        <w:t xml:space="preserve">. Кострома; БИК ТОФК 042202103; ОК</w:t>
      </w:r>
      <w:r>
        <w:rPr>
          <w:sz w:val="20"/>
          <w:szCs w:val="20"/>
          <w:highlight w:val="white"/>
        </w:rPr>
        <w:t xml:space="preserve">ТМО 34701000; КБК 96611607090040002140</w:t>
      </w:r>
      <w:r>
        <w:rPr>
          <w:sz w:val="20"/>
          <w:szCs w:val="20"/>
        </w:rPr>
        <w:t xml:space="preserve">.</w:t>
      </w:r>
      <w:r>
        <w:rPr>
          <w:color w:val="000000"/>
          <w:sz w:val="20"/>
          <w:szCs w:val="20"/>
          <w:highlight w:val="yellow"/>
        </w:rPr>
      </w:r>
      <w:r>
        <w:rPr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4.3. Уплата неустойки не освобождает Покупателя от исполнения обязательств по настоящему договору.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6.1. Настоящий </w:t>
      </w:r>
      <w:r>
        <w:rPr>
          <w:color w:val="000000"/>
          <w:sz w:val="20"/>
          <w:szCs w:val="20"/>
        </w:rPr>
        <w:t xml:space="preserve">договор</w:t>
      </w:r>
      <w:r>
        <w:rPr>
          <w:color w:val="000000"/>
          <w:sz w:val="20"/>
          <w:szCs w:val="20"/>
        </w:rPr>
        <w:t xml:space="preserve">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</w:t>
      </w:r>
      <w:r>
        <w:rPr>
          <w:color w:val="000000"/>
          <w:sz w:val="20"/>
          <w:szCs w:val="20"/>
        </w:rPr>
        <w:t xml:space="preserve">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</w:t>
      </w:r>
      <w:r>
        <w:rPr>
          <w:color w:val="000000"/>
          <w:sz w:val="20"/>
          <w:szCs w:val="20"/>
        </w:rPr>
        <w:t xml:space="preserve">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</w:t>
      </w:r>
      <w:r>
        <w:rPr>
          <w:color w:val="000000"/>
          <w:sz w:val="20"/>
          <w:szCs w:val="20"/>
        </w:rPr>
        <w:t xml:space="preserve">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40"/>
        <w:jc w:val="both"/>
        <w:spacing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0"/>
          <w:szCs w:val="20"/>
        </w:rPr>
        <w:t xml:space="preserve">7.6. </w:t>
      </w:r>
      <w:r>
        <w:rPr>
          <w:sz w:val="20"/>
          <w:szCs w:val="20"/>
        </w:rPr>
        <w:t xml:space="preserve">Настоящий Договор </w:t>
      </w:r>
      <w:r>
        <w:rPr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</w:t>
      </w:r>
      <w:r>
        <w:rPr>
          <w:color w:val="000000"/>
          <w:sz w:val="20"/>
          <w:szCs w:val="20"/>
        </w:rPr>
        <w:t xml:space="preserve">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Приложение 3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" name="_x0000_i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4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6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7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8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3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75pt;height:672.0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9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0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1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2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3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4" name="_x0000_i10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5" name="_x0000_i10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6" name="_x0000_i10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sectPr>
      <w:footnotePr/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Arial">
    <w:panose1 w:val="020B0604020202020204"/>
  </w:font>
  <w:font w:name="Microsoft YaHei">
    <w:panose1 w:val="020B0503020204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1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5"/>
        <w:contextualSpacing/>
        <w:jc w:val="both"/>
        <w:spacing w:line="216" w:lineRule="auto"/>
        <w:rPr>
          <w:sz w:val="18"/>
          <w:szCs w:val="18"/>
        </w:rPr>
      </w:pPr>
      <w:r>
        <w:rPr>
          <w:rStyle w:val="771"/>
        </w:rPr>
        <w:footnoteRef/>
      </w:r>
      <w:r>
        <w:t xml:space="preserve"> </w:t>
      </w:r>
      <w:r>
        <w:rPr>
          <w:sz w:val="18"/>
          <w:szCs w:val="18"/>
        </w:rPr>
        <w:t xml:space="preserve">Ознакомлен</w:t>
      </w:r>
      <w:r>
        <w:rPr>
          <w:sz w:val="18"/>
          <w:szCs w:val="18"/>
        </w:rPr>
        <w:t xml:space="preserve">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</w:rPr>
      </w:r>
      <w:r>
        <w:rPr>
          <w:sz w:val="18"/>
          <w:szCs w:val="18"/>
        </w:rPr>
      </w:r>
    </w:p>
  </w:footnote>
  <w:footnote w:id="4">
    <w:p>
      <w:pPr>
        <w:pStyle w:val="805"/>
        <w:contextualSpacing/>
        <w:jc w:val="both"/>
        <w:spacing w:line="216" w:lineRule="auto"/>
      </w:pPr>
      <w:r>
        <w:rPr>
          <w:rStyle w:val="771"/>
        </w:rPr>
        <w:footnoteRef/>
      </w:r>
      <w:r>
        <w:t xml:space="preserve"> </w:t>
      </w:r>
      <w:r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</w:t>
      </w:r>
      <w:r>
        <w:rPr>
          <w:sz w:val="18"/>
          <w:szCs w:val="18"/>
        </w:rPr>
        <w:t xml:space="preserve">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7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5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4">
    <w:name w:val="Title Char"/>
    <w:basedOn w:val="718"/>
    <w:link w:val="779"/>
    <w:uiPriority w:val="10"/>
    <w:rPr>
      <w:sz w:val="48"/>
      <w:szCs w:val="48"/>
    </w:rPr>
  </w:style>
  <w:style w:type="character" w:styleId="715">
    <w:name w:val="Subtitle Char"/>
    <w:basedOn w:val="718"/>
    <w:link w:val="780"/>
    <w:uiPriority w:val="11"/>
    <w:rPr>
      <w:sz w:val="24"/>
      <w:szCs w:val="24"/>
    </w:rPr>
  </w:style>
  <w:style w:type="character" w:styleId="716">
    <w:name w:val="Endnote Text Char"/>
    <w:link w:val="784"/>
    <w:uiPriority w:val="99"/>
    <w:rPr>
      <w:sz w:val="20"/>
    </w:rPr>
  </w:style>
  <w:style w:type="paragraph" w:styleId="717" w:default="1">
    <w:name w:val="Normal"/>
    <w:qFormat/>
    <w:rPr>
      <w:rFonts w:ascii="Times New Roman" w:hAnsi="Times New Roman" w:eastAsia="Times New Roman" w:cs="Times New Roman"/>
      <w:sz w:val="24"/>
      <w:szCs w:val="24"/>
    </w:rPr>
  </w:style>
  <w:style w:type="character" w:styleId="718" w:default="1">
    <w:name w:val="Default Paragraph Font"/>
    <w:uiPriority w:val="1"/>
    <w:semiHidden/>
    <w:unhideWhenUsed/>
  </w:style>
  <w:style w:type="table" w:styleId="7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0" w:default="1">
    <w:name w:val="No List"/>
    <w:uiPriority w:val="99"/>
    <w:semiHidden/>
    <w:unhideWhenUsed/>
  </w:style>
  <w:style w:type="character" w:styleId="721" w:customStyle="1">
    <w:name w:val="Heading 1 Char"/>
    <w:basedOn w:val="718"/>
    <w:link w:val="736"/>
    <w:uiPriority w:val="9"/>
    <w:rPr>
      <w:rFonts w:ascii="Arial" w:hAnsi="Arial" w:eastAsia="Arial" w:cs="Arial"/>
      <w:sz w:val="40"/>
      <w:szCs w:val="40"/>
    </w:rPr>
  </w:style>
  <w:style w:type="character" w:styleId="722" w:customStyle="1">
    <w:name w:val="Heading 2 Char"/>
    <w:basedOn w:val="718"/>
    <w:link w:val="737"/>
    <w:uiPriority w:val="9"/>
    <w:rPr>
      <w:rFonts w:ascii="Arial" w:hAnsi="Arial" w:eastAsia="Arial" w:cs="Arial"/>
      <w:sz w:val="34"/>
    </w:rPr>
  </w:style>
  <w:style w:type="character" w:styleId="723" w:customStyle="1">
    <w:name w:val="Heading 3 Char"/>
    <w:basedOn w:val="718"/>
    <w:link w:val="738"/>
    <w:uiPriority w:val="9"/>
    <w:rPr>
      <w:rFonts w:ascii="Arial" w:hAnsi="Arial" w:eastAsia="Arial" w:cs="Arial"/>
      <w:sz w:val="30"/>
      <w:szCs w:val="30"/>
    </w:rPr>
  </w:style>
  <w:style w:type="character" w:styleId="724" w:customStyle="1">
    <w:name w:val="Heading 4 Char"/>
    <w:basedOn w:val="718"/>
    <w:link w:val="739"/>
    <w:uiPriority w:val="9"/>
    <w:rPr>
      <w:rFonts w:ascii="Arial" w:hAnsi="Arial" w:eastAsia="Arial" w:cs="Arial"/>
      <w:b/>
      <w:bCs/>
      <w:sz w:val="26"/>
      <w:szCs w:val="26"/>
    </w:rPr>
  </w:style>
  <w:style w:type="character" w:styleId="725" w:customStyle="1">
    <w:name w:val="Heading 5 Char"/>
    <w:basedOn w:val="718"/>
    <w:link w:val="740"/>
    <w:uiPriority w:val="9"/>
    <w:rPr>
      <w:rFonts w:ascii="Arial" w:hAnsi="Arial" w:eastAsia="Arial" w:cs="Arial"/>
      <w:b/>
      <w:bCs/>
      <w:sz w:val="24"/>
      <w:szCs w:val="24"/>
    </w:rPr>
  </w:style>
  <w:style w:type="character" w:styleId="726" w:customStyle="1">
    <w:name w:val="Heading 6 Char"/>
    <w:basedOn w:val="718"/>
    <w:link w:val="741"/>
    <w:uiPriority w:val="9"/>
    <w:rPr>
      <w:rFonts w:ascii="Arial" w:hAnsi="Arial" w:eastAsia="Arial" w:cs="Arial"/>
      <w:b/>
      <w:bCs/>
      <w:sz w:val="22"/>
      <w:szCs w:val="22"/>
    </w:rPr>
  </w:style>
  <w:style w:type="character" w:styleId="727" w:customStyle="1">
    <w:name w:val="Heading 7 Char"/>
    <w:basedOn w:val="718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8" w:customStyle="1">
    <w:name w:val="Heading 8 Char"/>
    <w:basedOn w:val="718"/>
    <w:link w:val="743"/>
    <w:uiPriority w:val="9"/>
    <w:rPr>
      <w:rFonts w:ascii="Arial" w:hAnsi="Arial" w:eastAsia="Arial" w:cs="Arial"/>
      <w:i/>
      <w:iCs/>
      <w:sz w:val="22"/>
      <w:szCs w:val="22"/>
    </w:rPr>
  </w:style>
  <w:style w:type="character" w:styleId="729" w:customStyle="1">
    <w:name w:val="Heading 9 Char"/>
    <w:basedOn w:val="718"/>
    <w:link w:val="744"/>
    <w:uiPriority w:val="9"/>
    <w:rPr>
      <w:rFonts w:ascii="Arial" w:hAnsi="Arial" w:eastAsia="Arial" w:cs="Arial"/>
      <w:i/>
      <w:iCs/>
      <w:sz w:val="21"/>
      <w:szCs w:val="21"/>
    </w:rPr>
  </w:style>
  <w:style w:type="character" w:styleId="730" w:customStyle="1">
    <w:name w:val="Название Знак"/>
    <w:basedOn w:val="718"/>
    <w:link w:val="779"/>
    <w:uiPriority w:val="10"/>
    <w:rPr>
      <w:sz w:val="48"/>
      <w:szCs w:val="48"/>
    </w:rPr>
  </w:style>
  <w:style w:type="character" w:styleId="731" w:customStyle="1">
    <w:name w:val="Подзаголовок Знак1"/>
    <w:basedOn w:val="718"/>
    <w:link w:val="780"/>
    <w:uiPriority w:val="11"/>
    <w:rPr>
      <w:sz w:val="24"/>
      <w:szCs w:val="24"/>
    </w:rPr>
  </w:style>
  <w:style w:type="character" w:styleId="732" w:customStyle="1">
    <w:name w:val="Quote Char"/>
    <w:link w:val="781"/>
    <w:uiPriority w:val="29"/>
    <w:rPr>
      <w:i/>
    </w:rPr>
  </w:style>
  <w:style w:type="character" w:styleId="733" w:customStyle="1">
    <w:name w:val="Intense Quote Char"/>
    <w:link w:val="782"/>
    <w:uiPriority w:val="30"/>
    <w:rPr>
      <w:i/>
    </w:rPr>
  </w:style>
  <w:style w:type="character" w:styleId="734" w:customStyle="1">
    <w:name w:val="Текст концевой сноски Знак1"/>
    <w:link w:val="784"/>
    <w:uiPriority w:val="99"/>
    <w:rPr>
      <w:sz w:val="20"/>
    </w:rPr>
  </w:style>
  <w:style w:type="paragraph" w:styleId="735">
    <w:name w:val="toc 2"/>
    <w:basedOn w:val="717"/>
    <w:next w:val="717"/>
    <w:uiPriority w:val="39"/>
    <w:unhideWhenUsed/>
    <w:pPr>
      <w:ind w:left="283"/>
      <w:spacing w:after="57"/>
    </w:pPr>
  </w:style>
  <w:style w:type="paragraph" w:styleId="736" w:customStyle="1">
    <w:name w:val="Heading 1"/>
    <w:basedOn w:val="717"/>
    <w:next w:val="717"/>
    <w:link w:val="80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 w:customStyle="1">
    <w:name w:val="Heading 2"/>
    <w:basedOn w:val="717"/>
    <w:next w:val="717"/>
    <w:link w:val="74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 w:customStyle="1">
    <w:name w:val="Heading 3"/>
    <w:basedOn w:val="717"/>
    <w:next w:val="717"/>
    <w:link w:val="81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 w:customStyle="1">
    <w:name w:val="Heading 4"/>
    <w:basedOn w:val="717"/>
    <w:next w:val="717"/>
    <w:link w:val="81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 w:customStyle="1">
    <w:name w:val="Heading 5"/>
    <w:basedOn w:val="717"/>
    <w:next w:val="717"/>
    <w:link w:val="81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1" w:customStyle="1">
    <w:name w:val="Heading 6"/>
    <w:basedOn w:val="717"/>
    <w:next w:val="717"/>
    <w:link w:val="74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 w:customStyle="1">
    <w:name w:val="Heading 7"/>
    <w:basedOn w:val="717"/>
    <w:next w:val="717"/>
    <w:link w:val="7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 w:customStyle="1">
    <w:name w:val="Heading 8"/>
    <w:basedOn w:val="717"/>
    <w:next w:val="717"/>
    <w:link w:val="74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 w:customStyle="1">
    <w:name w:val="Heading 9"/>
    <w:basedOn w:val="717"/>
    <w:next w:val="717"/>
    <w:link w:val="74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 w:customStyle="1">
    <w:name w:val="Заголовок 2 Знак"/>
    <w:basedOn w:val="718"/>
    <w:link w:val="737"/>
    <w:uiPriority w:val="9"/>
    <w:qFormat/>
    <w:rPr>
      <w:rFonts w:ascii="Arial" w:hAnsi="Arial" w:eastAsia="Arial" w:cs="Arial"/>
      <w:sz w:val="34"/>
    </w:rPr>
  </w:style>
  <w:style w:type="character" w:styleId="746" w:customStyle="1">
    <w:name w:val="Заголовок 6 Знак"/>
    <w:basedOn w:val="718"/>
    <w:link w:val="741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7" w:customStyle="1">
    <w:name w:val="Заголовок 7 Знак"/>
    <w:basedOn w:val="718"/>
    <w:link w:val="742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8" w:customStyle="1">
    <w:name w:val="Заголовок 8 Знак"/>
    <w:basedOn w:val="718"/>
    <w:link w:val="74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49" w:customStyle="1">
    <w:name w:val="Заголовок 9 Знак"/>
    <w:basedOn w:val="718"/>
    <w:link w:val="744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0" w:customStyle="1">
    <w:name w:val="Заголовок Знак"/>
    <w:basedOn w:val="718"/>
    <w:link w:val="779"/>
    <w:uiPriority w:val="10"/>
    <w:qFormat/>
    <w:rPr>
      <w:sz w:val="48"/>
      <w:szCs w:val="48"/>
    </w:rPr>
  </w:style>
  <w:style w:type="character" w:styleId="751" w:customStyle="1">
    <w:name w:val="Подзаголовок Знак"/>
    <w:basedOn w:val="718"/>
    <w:link w:val="780"/>
    <w:uiPriority w:val="11"/>
    <w:qFormat/>
    <w:rPr>
      <w:sz w:val="24"/>
      <w:szCs w:val="24"/>
    </w:rPr>
  </w:style>
  <w:style w:type="character" w:styleId="752" w:customStyle="1">
    <w:name w:val="Цитата 2 Знак"/>
    <w:link w:val="781"/>
    <w:uiPriority w:val="29"/>
    <w:qFormat/>
    <w:rPr>
      <w:i/>
    </w:rPr>
  </w:style>
  <w:style w:type="character" w:styleId="753" w:customStyle="1">
    <w:name w:val="Выделенная цитата Знак"/>
    <w:link w:val="782"/>
    <w:uiPriority w:val="30"/>
    <w:qFormat/>
    <w:rPr>
      <w:i/>
    </w:rPr>
  </w:style>
  <w:style w:type="character" w:styleId="754" w:customStyle="1">
    <w:name w:val="Header Char"/>
    <w:basedOn w:val="718"/>
    <w:uiPriority w:val="99"/>
    <w:qFormat/>
  </w:style>
  <w:style w:type="character" w:styleId="755" w:customStyle="1">
    <w:name w:val="Footer Char"/>
    <w:basedOn w:val="718"/>
    <w:uiPriority w:val="99"/>
    <w:qFormat/>
  </w:style>
  <w:style w:type="character" w:styleId="756" w:customStyle="1">
    <w:name w:val="Caption Char"/>
    <w:link w:val="783"/>
    <w:uiPriority w:val="99"/>
    <w:qFormat/>
  </w:style>
  <w:style w:type="character" w:styleId="757" w:customStyle="1">
    <w:name w:val="Footnote Text Char"/>
    <w:uiPriority w:val="99"/>
    <w:qFormat/>
    <w:rPr>
      <w:sz w:val="18"/>
    </w:rPr>
  </w:style>
  <w:style w:type="character" w:styleId="758" w:customStyle="1">
    <w:name w:val="Текст концевой сноски Знак"/>
    <w:link w:val="784"/>
    <w:uiPriority w:val="99"/>
    <w:qFormat/>
    <w:rPr>
      <w:sz w:val="20"/>
    </w:rPr>
  </w:style>
  <w:style w:type="character" w:styleId="759" w:customStyle="1">
    <w:name w:val="Символ концевой сноски"/>
    <w:basedOn w:val="718"/>
    <w:uiPriority w:val="99"/>
    <w:semiHidden/>
    <w:unhideWhenUsed/>
    <w:qFormat/>
    <w:rPr>
      <w:vertAlign w:val="superscript"/>
    </w:rPr>
  </w:style>
  <w:style w:type="character" w:styleId="760">
    <w:name w:val="endnote reference"/>
    <w:rPr>
      <w:vertAlign w:val="superscript"/>
    </w:rPr>
  </w:style>
  <w:style w:type="character" w:styleId="761">
    <w:name w:val="FollowedHyperlink"/>
    <w:basedOn w:val="718"/>
    <w:uiPriority w:val="99"/>
    <w:unhideWhenUsed/>
    <w:qFormat/>
    <w:rPr>
      <w:color w:val="800080"/>
      <w:u w:val="single"/>
    </w:rPr>
  </w:style>
  <w:style w:type="character" w:styleId="762">
    <w:name w:val="Hyperlink"/>
    <w:basedOn w:val="718"/>
    <w:uiPriority w:val="99"/>
    <w:unhideWhenUsed/>
    <w:qFormat/>
    <w:rPr>
      <w:color w:val="0000ff"/>
      <w:u w:val="single"/>
    </w:rPr>
  </w:style>
  <w:style w:type="character" w:styleId="763">
    <w:name w:val="Strong"/>
    <w:basedOn w:val="718"/>
    <w:qFormat/>
    <w:rPr>
      <w:rFonts w:cs="Times New Roman"/>
      <w:b/>
      <w:bCs/>
    </w:rPr>
  </w:style>
  <w:style w:type="character" w:styleId="764" w:customStyle="1">
    <w:name w:val="Верхний колонтитул Знак"/>
    <w:basedOn w:val="718"/>
    <w:link w:val="798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5" w:customStyle="1">
    <w:name w:val="Нижний колонтитул Знак"/>
    <w:basedOn w:val="718"/>
    <w:link w:val="799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10"/>
    <w:basedOn w:val="718"/>
    <w:qFormat/>
    <w:rPr>
      <w:rFonts w:ascii="Times New Roman" w:hAnsi="Times New Roman" w:cs="Times New Roman"/>
    </w:rPr>
  </w:style>
  <w:style w:type="character" w:styleId="767" w:customStyle="1">
    <w:name w:val="15"/>
    <w:basedOn w:val="718"/>
    <w:qFormat/>
    <w:rPr>
      <w:rFonts w:ascii="Times New Roman" w:hAnsi="Times New Roman" w:cs="Times New Roman"/>
      <w:color w:val="0000ff"/>
      <w:u w:val="single"/>
    </w:rPr>
  </w:style>
  <w:style w:type="character" w:styleId="768" w:customStyle="1">
    <w:name w:val="16"/>
    <w:basedOn w:val="718"/>
    <w:qFormat/>
    <w:rPr>
      <w:rFonts w:ascii="Times New Roman" w:hAnsi="Times New Roman" w:cs="Times New Roman"/>
    </w:rPr>
  </w:style>
  <w:style w:type="character" w:styleId="769" w:customStyle="1">
    <w:name w:val="rts-text"/>
    <w:basedOn w:val="718"/>
    <w:qFormat/>
  </w:style>
  <w:style w:type="character" w:styleId="770" w:customStyle="1">
    <w:name w:val="Символ сноски"/>
    <w:qFormat/>
    <w:rPr>
      <w:vertAlign w:val="superscript"/>
    </w:rPr>
  </w:style>
  <w:style w:type="character" w:styleId="771">
    <w:name w:val="footnote reference"/>
    <w:rPr>
      <w:vertAlign w:val="superscript"/>
    </w:rPr>
  </w:style>
  <w:style w:type="character" w:styleId="772" w:customStyle="1">
    <w:name w:val="Текст сноски Знак"/>
    <w:basedOn w:val="718"/>
    <w:link w:val="805"/>
    <w:qFormat/>
    <w:rPr>
      <w:rFonts w:ascii="Times New Roman" w:hAnsi="Times New Roman" w:eastAsia="Times New Roman" w:cs="Times New Roman"/>
      <w:lang w:eastAsia="zh-CN"/>
    </w:rPr>
  </w:style>
  <w:style w:type="character" w:styleId="773" w:customStyle="1">
    <w:name w:val="Текст выноски Знак"/>
    <w:basedOn w:val="718"/>
    <w:link w:val="806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4" w:customStyle="1">
    <w:name w:val="Заголовок"/>
    <w:basedOn w:val="717"/>
    <w:next w:val="77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5">
    <w:name w:val="Body Text"/>
    <w:basedOn w:val="717"/>
    <w:pPr>
      <w:spacing w:after="140" w:line="276" w:lineRule="auto"/>
    </w:pPr>
  </w:style>
  <w:style w:type="paragraph" w:styleId="776">
    <w:name w:val="List"/>
    <w:basedOn w:val="775"/>
    <w:rPr>
      <w:rFonts w:cs="Mangal"/>
    </w:rPr>
  </w:style>
  <w:style w:type="paragraph" w:styleId="777" w:customStyle="1">
    <w:name w:val="Caption"/>
    <w:basedOn w:val="717"/>
    <w:link w:val="756"/>
    <w:qFormat/>
    <w:pPr>
      <w:spacing w:before="120" w:after="120"/>
      <w:suppressLineNumbers/>
    </w:pPr>
    <w:rPr>
      <w:rFonts w:cs="Mangal"/>
      <w:i/>
      <w:iCs/>
    </w:rPr>
  </w:style>
  <w:style w:type="paragraph" w:styleId="778">
    <w:name w:val="index heading"/>
    <w:basedOn w:val="717"/>
    <w:qFormat/>
    <w:pPr>
      <w:suppressLineNumbers/>
    </w:pPr>
    <w:rPr>
      <w:rFonts w:cs="Mangal"/>
    </w:rPr>
  </w:style>
  <w:style w:type="paragraph" w:styleId="779">
    <w:name w:val="Title"/>
    <w:basedOn w:val="717"/>
    <w:next w:val="717"/>
    <w:link w:val="730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0">
    <w:name w:val="Subtitle"/>
    <w:basedOn w:val="717"/>
    <w:next w:val="717"/>
    <w:link w:val="731"/>
    <w:uiPriority w:val="11"/>
    <w:qFormat/>
    <w:pPr>
      <w:spacing w:before="200" w:after="200"/>
    </w:pPr>
  </w:style>
  <w:style w:type="paragraph" w:styleId="781">
    <w:name w:val="Quote"/>
    <w:basedOn w:val="717"/>
    <w:next w:val="717"/>
    <w:link w:val="752"/>
    <w:uiPriority w:val="29"/>
    <w:qFormat/>
    <w:pPr>
      <w:ind w:left="720" w:right="720"/>
    </w:pPr>
    <w:rPr>
      <w:i/>
    </w:rPr>
  </w:style>
  <w:style w:type="paragraph" w:styleId="782">
    <w:name w:val="Intense Quote"/>
    <w:basedOn w:val="717"/>
    <w:next w:val="717"/>
    <w:link w:val="75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3" w:customStyle="1">
    <w:name w:val="Caption"/>
    <w:basedOn w:val="717"/>
    <w:next w:val="717"/>
    <w:link w:val="75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4">
    <w:name w:val="endnote text"/>
    <w:basedOn w:val="717"/>
    <w:link w:val="734"/>
    <w:uiPriority w:val="99"/>
    <w:semiHidden/>
    <w:unhideWhenUsed/>
    <w:rPr>
      <w:sz w:val="20"/>
    </w:rPr>
  </w:style>
  <w:style w:type="paragraph" w:styleId="785">
    <w:name w:val="toc 1"/>
    <w:basedOn w:val="717"/>
    <w:next w:val="717"/>
    <w:uiPriority w:val="39"/>
    <w:unhideWhenUsed/>
    <w:pPr>
      <w:spacing w:after="57"/>
    </w:pPr>
  </w:style>
  <w:style w:type="paragraph" w:styleId="786">
    <w:name w:val="toc 3"/>
    <w:basedOn w:val="717"/>
    <w:next w:val="717"/>
    <w:uiPriority w:val="39"/>
    <w:unhideWhenUsed/>
    <w:pPr>
      <w:ind w:left="567"/>
      <w:spacing w:after="57"/>
    </w:pPr>
  </w:style>
  <w:style w:type="paragraph" w:styleId="787">
    <w:name w:val="toc 4"/>
    <w:basedOn w:val="717"/>
    <w:next w:val="717"/>
    <w:uiPriority w:val="39"/>
    <w:unhideWhenUsed/>
    <w:pPr>
      <w:ind w:left="850"/>
      <w:spacing w:after="57"/>
    </w:pPr>
  </w:style>
  <w:style w:type="paragraph" w:styleId="788">
    <w:name w:val="toc 5"/>
    <w:basedOn w:val="717"/>
    <w:next w:val="717"/>
    <w:uiPriority w:val="39"/>
    <w:unhideWhenUsed/>
    <w:pPr>
      <w:ind w:left="1134"/>
      <w:spacing w:after="57"/>
    </w:pPr>
  </w:style>
  <w:style w:type="paragraph" w:styleId="789">
    <w:name w:val="toc 6"/>
    <w:basedOn w:val="717"/>
    <w:next w:val="717"/>
    <w:uiPriority w:val="39"/>
    <w:unhideWhenUsed/>
    <w:pPr>
      <w:ind w:left="1417"/>
      <w:spacing w:after="57"/>
    </w:pPr>
  </w:style>
  <w:style w:type="paragraph" w:styleId="790">
    <w:name w:val="toc 7"/>
    <w:basedOn w:val="717"/>
    <w:next w:val="717"/>
    <w:uiPriority w:val="39"/>
    <w:unhideWhenUsed/>
    <w:pPr>
      <w:ind w:left="1701"/>
      <w:spacing w:after="57"/>
    </w:pPr>
  </w:style>
  <w:style w:type="paragraph" w:styleId="791">
    <w:name w:val="toc 8"/>
    <w:basedOn w:val="717"/>
    <w:next w:val="717"/>
    <w:uiPriority w:val="39"/>
    <w:unhideWhenUsed/>
    <w:pPr>
      <w:ind w:left="1984"/>
      <w:spacing w:after="57"/>
    </w:pPr>
  </w:style>
  <w:style w:type="paragraph" w:styleId="792">
    <w:name w:val="toc 9"/>
    <w:basedOn w:val="717"/>
    <w:next w:val="717"/>
    <w:uiPriority w:val="39"/>
    <w:unhideWhenUsed/>
    <w:pPr>
      <w:ind w:left="2268"/>
      <w:spacing w:after="57"/>
    </w:pPr>
  </w:style>
  <w:style w:type="paragraph" w:styleId="793" w:customStyle="1">
    <w:name w:val="Index Heading"/>
    <w:basedOn w:val="774"/>
  </w:style>
  <w:style w:type="paragraph" w:styleId="794">
    <w:name w:val="TOC Heading"/>
    <w:uiPriority w:val="39"/>
    <w:unhideWhenUsed/>
  </w:style>
  <w:style w:type="paragraph" w:styleId="795">
    <w:name w:val="table of figures"/>
    <w:basedOn w:val="717"/>
    <w:next w:val="717"/>
    <w:uiPriority w:val="99"/>
    <w:unhideWhenUsed/>
    <w:qFormat/>
  </w:style>
  <w:style w:type="paragraph" w:styleId="796">
    <w:name w:val="Body Text Indent 3"/>
    <w:basedOn w:val="717"/>
    <w:uiPriority w:val="99"/>
    <w:unhideWhenUsed/>
    <w:qFormat/>
    <w:pPr>
      <w:ind w:left="283"/>
      <w:spacing w:after="120"/>
    </w:pPr>
    <w:rPr>
      <w:sz w:val="16"/>
      <w:szCs w:val="16"/>
    </w:rPr>
  </w:style>
  <w:style w:type="paragraph" w:styleId="797" w:customStyle="1">
    <w:name w:val="Колонтитул"/>
    <w:basedOn w:val="717"/>
    <w:qFormat/>
  </w:style>
  <w:style w:type="paragraph" w:styleId="798" w:customStyle="1">
    <w:name w:val="Header"/>
    <w:basedOn w:val="717"/>
    <w:link w:val="764"/>
    <w:uiPriority w:val="99"/>
    <w:unhideWhenUsed/>
    <w:qFormat/>
  </w:style>
  <w:style w:type="paragraph" w:styleId="799" w:customStyle="1">
    <w:name w:val="Footer"/>
    <w:basedOn w:val="717"/>
    <w:link w:val="765"/>
    <w:uiPriority w:val="99"/>
    <w:unhideWhenUsed/>
    <w:qFormat/>
  </w:style>
  <w:style w:type="paragraph" w:styleId="800">
    <w:name w:val="Normal (Web)"/>
    <w:basedOn w:val="717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1">
    <w:name w:val="No Spacing"/>
    <w:uiPriority w:val="1"/>
    <w:qFormat/>
    <w:rPr>
      <w:rFonts w:eastAsia="Times New Roman" w:cs="Times New Roman"/>
      <w:sz w:val="22"/>
      <w:szCs w:val="22"/>
      <w:lang w:eastAsia="en-US"/>
    </w:rPr>
  </w:style>
  <w:style w:type="paragraph" w:styleId="802" w:customStyle="1">
    <w:name w:val="rezul"/>
    <w:basedOn w:val="717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3" w:customStyle="1">
    <w:name w:val="Заголов1"/>
    <w:basedOn w:val="717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4">
    <w:name w:val="List Paragraph"/>
    <w:basedOn w:val="717"/>
    <w:uiPriority w:val="99"/>
    <w:qFormat/>
    <w:pPr>
      <w:contextualSpacing/>
      <w:ind w:left="720"/>
    </w:pPr>
  </w:style>
  <w:style w:type="paragraph" w:styleId="805">
    <w:name w:val="footnote text"/>
    <w:basedOn w:val="717"/>
    <w:link w:val="772"/>
    <w:rPr>
      <w:sz w:val="20"/>
      <w:szCs w:val="20"/>
      <w:lang w:eastAsia="zh-CN"/>
    </w:rPr>
  </w:style>
  <w:style w:type="paragraph" w:styleId="806">
    <w:name w:val="Balloon Text"/>
    <w:basedOn w:val="717"/>
    <w:link w:val="773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807" w:customStyle="1">
    <w:name w:val="Table Grid Light"/>
    <w:basedOn w:val="719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8" w:customStyle="1">
    <w:name w:val="Plain Table 1"/>
    <w:basedOn w:val="719"/>
    <w:link w:val="736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fill="ffffff" w:themeFill="text1" w:themeFillTint="00"/>
      </w:tcPr>
    </w:tblStylePr>
    <w:tblStylePr w:type="band1Vert">
      <w:tcPr>
        <w:shd w:val="clear" w:color="f2f2f2" w:fill="ffffff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09" w:customStyle="1">
    <w:name w:val="Plain Table 2"/>
    <w:basedOn w:val="719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0" w:customStyle="1">
    <w:name w:val="Plain Table 3"/>
    <w:basedOn w:val="719"/>
    <w:link w:val="738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1" w:customStyle="1">
    <w:name w:val="Plain Table 4"/>
    <w:basedOn w:val="719"/>
    <w:link w:val="73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Plain Table 5"/>
    <w:basedOn w:val="719"/>
    <w:link w:val="74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1 Light"/>
    <w:basedOn w:val="719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Grid Table 1 Light - Accent 1"/>
    <w:basedOn w:val="719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2"/>
    <w:basedOn w:val="719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3"/>
    <w:basedOn w:val="719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4"/>
    <w:basedOn w:val="719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5"/>
    <w:basedOn w:val="719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6"/>
    <w:basedOn w:val="719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2"/>
    <w:basedOn w:val="719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Grid Table 2 - Accent 1"/>
    <w:basedOn w:val="719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2 - Accent 2"/>
    <w:basedOn w:val="719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2 - Accent 3"/>
    <w:basedOn w:val="719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4"/>
    <w:basedOn w:val="719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5"/>
    <w:basedOn w:val="719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6"/>
    <w:basedOn w:val="719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3"/>
    <w:basedOn w:val="719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3 - Accent 1"/>
    <w:basedOn w:val="719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3 - Accent 2"/>
    <w:basedOn w:val="719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3 - Accent 3"/>
    <w:basedOn w:val="719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4"/>
    <w:basedOn w:val="719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5"/>
    <w:basedOn w:val="719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6"/>
    <w:basedOn w:val="719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4"/>
    <w:basedOn w:val="719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5" w:customStyle="1">
    <w:name w:val="Grid Table 4 - Accent 1"/>
    <w:basedOn w:val="719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</w:tcBorders>
      </w:tcPr>
    </w:tblStylePr>
  </w:style>
  <w:style w:type="table" w:styleId="836" w:customStyle="1">
    <w:name w:val="Grid Table 4 - Accent 2"/>
    <w:basedOn w:val="719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</w:tcBorders>
      </w:tcPr>
    </w:tblStylePr>
  </w:style>
  <w:style w:type="table" w:styleId="837" w:customStyle="1">
    <w:name w:val="Grid Table 4 - Accent 3"/>
    <w:basedOn w:val="719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</w:tcBorders>
      </w:tcPr>
    </w:tblStylePr>
  </w:style>
  <w:style w:type="table" w:styleId="838" w:customStyle="1">
    <w:name w:val="Grid Table 4 - Accent 4"/>
    <w:basedOn w:val="719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</w:tcBorders>
      </w:tcPr>
    </w:tblStylePr>
  </w:style>
  <w:style w:type="table" w:styleId="839" w:customStyle="1">
    <w:name w:val="Grid Table 4 - Accent 5"/>
    <w:basedOn w:val="719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0" w:customStyle="1">
    <w:name w:val="Grid Table 4 - Accent 6"/>
    <w:basedOn w:val="719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1" w:customStyle="1">
    <w:name w:val="Grid Table 5 Dark"/>
    <w:basedOn w:val="719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2" w:customStyle="1">
    <w:name w:val="Grid Table 5 Dark- Accent 1"/>
    <w:basedOn w:val="719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3" w:customStyle="1">
    <w:name w:val="Grid Table 5 Dark - Accent 2"/>
    <w:basedOn w:val="719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4" w:customStyle="1">
    <w:name w:val="Grid Table 5 Dark - Accent 3"/>
    <w:basedOn w:val="719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4"/>
    <w:basedOn w:val="719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5"/>
    <w:basedOn w:val="719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6"/>
    <w:basedOn w:val="719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6 Colorful"/>
    <w:basedOn w:val="719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49" w:customStyle="1">
    <w:name w:val="Grid Table 6 Colorful - Accent 1"/>
    <w:basedOn w:val="719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0" w:customStyle="1">
    <w:name w:val="Grid Table 6 Colorful - Accent 2"/>
    <w:basedOn w:val="719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1" w:customStyle="1">
    <w:name w:val="Grid Table 6 Colorful - Accent 3"/>
    <w:basedOn w:val="719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2" w:customStyle="1">
    <w:name w:val="Grid Table 6 Colorful - Accent 4"/>
    <w:basedOn w:val="719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3" w:customStyle="1">
    <w:name w:val="Grid Table 6 Colorful - Accent 5"/>
    <w:basedOn w:val="719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4" w:customStyle="1">
    <w:name w:val="Grid Table 6 Colorful - Accent 6"/>
    <w:basedOn w:val="719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5" w:customStyle="1">
    <w:name w:val="Grid Table 7 Colorful"/>
    <w:basedOn w:val="719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f2f2f2" w:fill="ffffff" w:themeFill="text1" w:themeFillTint="00"/>
      </w:tcPr>
    </w:tblStylePr>
    <w:tblStylePr w:type="band1Vert">
      <w:tcPr>
        <w:shd w:val="clear" w:color="f2f2f2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000000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000000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000000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6" w:customStyle="1">
    <w:name w:val="Grid Table 7 Colorful - Accent 1"/>
    <w:basedOn w:val="719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7" w:customStyle="1">
    <w:name w:val="Grid Table 7 Colorful - Accent 2"/>
    <w:basedOn w:val="719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0504D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0504D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C0504D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8" w:customStyle="1">
    <w:name w:val="Grid Table 7 Colorful - Accent 3"/>
    <w:basedOn w:val="719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B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B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4"/>
    <w:basedOn w:val="719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064A2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8064A2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064A2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5"/>
    <w:basedOn w:val="719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BACC6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BACC6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4BACC6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6"/>
    <w:basedOn w:val="719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7964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7964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7964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List Table 1 Light"/>
    <w:basedOn w:val="71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List Table 1 Light - Accent 1"/>
    <w:basedOn w:val="71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1 Light - Accent 2"/>
    <w:basedOn w:val="71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1 Light - Accent 3"/>
    <w:basedOn w:val="71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4"/>
    <w:basedOn w:val="71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5"/>
    <w:basedOn w:val="71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6"/>
    <w:basedOn w:val="71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2"/>
    <w:basedOn w:val="719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870" w:customStyle="1">
    <w:name w:val="List Table 2 - Accent 1"/>
    <w:basedOn w:val="719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</w:style>
  <w:style w:type="table" w:styleId="871" w:customStyle="1">
    <w:name w:val="List Table 2 - Accent 2"/>
    <w:basedOn w:val="719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</w:style>
  <w:style w:type="table" w:styleId="872" w:customStyle="1">
    <w:name w:val="List Table 2 - Accent 3"/>
    <w:basedOn w:val="719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</w:style>
  <w:style w:type="table" w:styleId="873" w:customStyle="1">
    <w:name w:val="List Table 2 - Accent 4"/>
    <w:basedOn w:val="719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</w:style>
  <w:style w:type="table" w:styleId="874" w:customStyle="1">
    <w:name w:val="List Table 2 - Accent 5"/>
    <w:basedOn w:val="719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</w:style>
  <w:style w:type="table" w:styleId="875" w:customStyle="1">
    <w:name w:val="List Table 2 - Accent 6"/>
    <w:basedOn w:val="719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</w:style>
  <w:style w:type="table" w:styleId="876" w:customStyle="1">
    <w:name w:val="List Table 3"/>
    <w:basedOn w:val="719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List Table 3 - Accent 1"/>
    <w:basedOn w:val="719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2"/>
    <w:basedOn w:val="719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3"/>
    <w:basedOn w:val="719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4"/>
    <w:basedOn w:val="719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5"/>
    <w:basedOn w:val="719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6"/>
    <w:basedOn w:val="719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4"/>
    <w:basedOn w:val="719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4 - Accent 1"/>
    <w:basedOn w:val="719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2"/>
    <w:basedOn w:val="719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3"/>
    <w:basedOn w:val="719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4"/>
    <w:basedOn w:val="719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5"/>
    <w:basedOn w:val="719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6"/>
    <w:basedOn w:val="719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5 Dark"/>
    <w:basedOn w:val="719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000000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1" w:customStyle="1">
    <w:name w:val="List Table 5 Dark - Accent 1"/>
    <w:basedOn w:val="719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2" w:customStyle="1">
    <w:name w:val="List Table 5 Dark - Accent 2"/>
    <w:basedOn w:val="719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C0504D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3" w:customStyle="1">
    <w:name w:val="List Table 5 Dark - Accent 3"/>
    <w:basedOn w:val="719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9BBB59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4"/>
    <w:basedOn w:val="719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8064A2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5"/>
    <w:basedOn w:val="719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4BACC6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6"/>
    <w:basedOn w:val="719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79646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6 Colorful"/>
    <w:basedOn w:val="719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sz="4" w:space="0"/>
        </w:tcBorders>
      </w:tcPr>
    </w:tblStylePr>
  </w:style>
  <w:style w:type="table" w:styleId="898" w:customStyle="1">
    <w:name w:val="List Table 6 Colorful - Accent 1"/>
    <w:basedOn w:val="719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99" w:customStyle="1">
    <w:name w:val="List Table 6 Colorful - Accent 2"/>
    <w:basedOn w:val="719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C0504D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C0504D" w:themeColor="accent2" w:sz="4" w:space="0"/>
        </w:tcBorders>
      </w:tcPr>
    </w:tblStylePr>
  </w:style>
  <w:style w:type="table" w:styleId="900" w:customStyle="1">
    <w:name w:val="List Table 6 Colorful - Accent 3"/>
    <w:basedOn w:val="719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9BBB59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9BBB59" w:themeColor="accent3" w:sz="4" w:space="0"/>
        </w:tcBorders>
      </w:tcPr>
    </w:tblStylePr>
  </w:style>
  <w:style w:type="table" w:styleId="901" w:customStyle="1">
    <w:name w:val="List Table 6 Colorful - Accent 4"/>
    <w:basedOn w:val="719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8064A2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8064A2" w:themeColor="accent4" w:sz="4" w:space="0"/>
        </w:tcBorders>
      </w:tcPr>
    </w:tblStylePr>
  </w:style>
  <w:style w:type="table" w:styleId="902" w:customStyle="1">
    <w:name w:val="List Table 6 Colorful - Accent 5"/>
    <w:basedOn w:val="719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4BACC6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4BACC6" w:themeColor="accent5" w:sz="4" w:space="0"/>
        </w:tcBorders>
      </w:tcPr>
    </w:tblStylePr>
  </w:style>
  <w:style w:type="table" w:styleId="903" w:customStyle="1">
    <w:name w:val="List Table 6 Colorful - Accent 6"/>
    <w:basedOn w:val="719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79646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79646" w:themeColor="accent6" w:sz="4" w:space="0"/>
        </w:tcBorders>
      </w:tcPr>
    </w:tblStylePr>
  </w:style>
  <w:style w:type="table" w:styleId="904" w:customStyle="1">
    <w:name w:val="List Table 7 Colorful"/>
    <w:basedOn w:val="719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000000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000000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000000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5" w:customStyle="1">
    <w:name w:val="List Table 7 Colorful - Accent 1"/>
    <w:basedOn w:val="719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6" w:customStyle="1">
    <w:name w:val="List Table 7 Colorful - Accent 2"/>
    <w:basedOn w:val="719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0504D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0504D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C0504D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7" w:customStyle="1">
    <w:name w:val="List Table 7 Colorful - Accent 3"/>
    <w:basedOn w:val="719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BB59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BBB59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9B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4"/>
    <w:basedOn w:val="719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064A2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8064A2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064A2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5"/>
    <w:basedOn w:val="719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BACC6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BACC6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4BACC6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6"/>
    <w:basedOn w:val="719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79646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79646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7964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ned - Accent"/>
    <w:basedOn w:val="719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2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2" w:customStyle="1">
    <w:name w:val="Lined - Accent 1"/>
    <w:basedOn w:val="719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3" w:customStyle="1">
    <w:name w:val="Lined - Accent 2"/>
    <w:basedOn w:val="719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4" w:customStyle="1">
    <w:name w:val="Lined - Accent 3"/>
    <w:basedOn w:val="719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5" w:customStyle="1">
    <w:name w:val="Lined - Accent 4"/>
    <w:basedOn w:val="719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6" w:customStyle="1">
    <w:name w:val="Lined - Accent 5"/>
    <w:basedOn w:val="719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17" w:customStyle="1">
    <w:name w:val="Lined - Accent 6"/>
    <w:basedOn w:val="719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18" w:customStyle="1">
    <w:name w:val="Bordered &amp; Lined - Accent"/>
    <w:basedOn w:val="719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2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9" w:customStyle="1">
    <w:name w:val="Bordered &amp; Lined - Accent 1"/>
    <w:basedOn w:val="719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0" w:customStyle="1">
    <w:name w:val="Bordered &amp; Lined - Accent 2"/>
    <w:basedOn w:val="719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1" w:customStyle="1">
    <w:name w:val="Bordered &amp; Lined - Accent 3"/>
    <w:basedOn w:val="719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2" w:customStyle="1">
    <w:name w:val="Bordered &amp; Lined - Accent 4"/>
    <w:basedOn w:val="719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3" w:customStyle="1">
    <w:name w:val="Bordered &amp; Lined - Accent 5"/>
    <w:basedOn w:val="719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4" w:customStyle="1">
    <w:name w:val="Bordered &amp; Lined - Accent 6"/>
    <w:basedOn w:val="719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5" w:customStyle="1">
    <w:name w:val="Bordered"/>
    <w:basedOn w:val="719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text1" w:sz="12" w:space="0"/>
        </w:tcBorders>
      </w:tcPr>
    </w:tblStylePr>
  </w:style>
  <w:style w:type="table" w:styleId="926" w:customStyle="1">
    <w:name w:val="Bordered - Accent 1"/>
    <w:basedOn w:val="719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27" w:customStyle="1">
    <w:name w:val="Bordered - Accent 2"/>
    <w:basedOn w:val="719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0504D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0504D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0504D" w:themeColor="accent2" w:sz="12" w:space="0"/>
        </w:tcBorders>
      </w:tcPr>
    </w:tblStylePr>
  </w:style>
  <w:style w:type="table" w:styleId="928" w:customStyle="1">
    <w:name w:val="Bordered - Accent 3"/>
    <w:basedOn w:val="719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BBB59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BBB59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BBB59" w:themeColor="accent3" w:sz="12" w:space="0"/>
        </w:tcBorders>
      </w:tcPr>
    </w:tblStylePr>
  </w:style>
  <w:style w:type="table" w:styleId="929" w:customStyle="1">
    <w:name w:val="Bordered - Accent 4"/>
    <w:basedOn w:val="719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8064A2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8064A2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8064A2" w:themeColor="accent4" w:sz="12" w:space="0"/>
        </w:tcBorders>
      </w:tcPr>
    </w:tblStylePr>
  </w:style>
  <w:style w:type="table" w:styleId="930" w:customStyle="1">
    <w:name w:val="Bordered - Accent 5"/>
    <w:basedOn w:val="719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BACC6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BACC6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BACC6" w:themeColor="accent5" w:sz="12" w:space="0"/>
        </w:tcBorders>
      </w:tcPr>
    </w:tblStylePr>
  </w:style>
  <w:style w:type="table" w:styleId="931" w:customStyle="1">
    <w:name w:val="Bordered - Accent 6"/>
    <w:basedOn w:val="719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79646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79646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79646" w:themeColor="accent6" w:sz="12" w:space="0"/>
        </w:tcBorders>
      </w:tcPr>
    </w:tblStylePr>
  </w:style>
  <w:style w:type="table" w:styleId="932">
    <w:name w:val="Table Grid"/>
    <w:basedOn w:val="719"/>
    <w:uiPriority w:val="59"/>
    <w:rPr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79</cp:revision>
  <dcterms:created xsi:type="dcterms:W3CDTF">2023-10-31T06:24:00Z</dcterms:created>
  <dcterms:modified xsi:type="dcterms:W3CDTF">2026-06-18T13:14:37Z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