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>ограниченной у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лицами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ru-RU" w:eastAsia="ar-SA" w:bidi="ar-SA"/>
        </w:rPr>
        <w:t>Жужелинской, Хвойной, Богатырской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 LibreOffice_project/3d775be2011f3886db32dfd395a6a6d1ca2630ff</Application>
  <Pages>2</Pages>
  <Words>349</Words>
  <Characters>3990</Characters>
  <CharactersWithSpaces>4472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2025-09-25T10:35:17Z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