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УТВЕРЖДЕН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города Костромы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34"/>
              <w:jc w:val="center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Изменения в документацию по планировке</w:t>
      </w:r>
      <w:r>
        <w:rPr>
          <w:rFonts w:ascii="Times New Roman" w:hAnsi="Times New Roman"/>
          <w:bCs/>
          <w:sz w:val="32"/>
          <w:szCs w:val="32"/>
        </w:rPr>
      </w:r>
      <w:r>
        <w:rPr>
          <w:rFonts w:ascii="Times New Roman" w:hAnsi="Times New Roman"/>
          <w:bCs/>
          <w:sz w:val="32"/>
          <w:szCs w:val="32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территории</w:t>
      </w:r>
      <w:r>
        <w:rPr>
          <w:rFonts w:ascii="Times New Roman" w:hAnsi="Times New Roman"/>
          <w:bCs/>
          <w:sz w:val="32"/>
          <w:szCs w:val="32"/>
        </w:rPr>
        <w:t xml:space="preserve">,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ограниченной шоссе Кинешемским, улицами Маршала Устинова, Долгая поляна, Сутырина, 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проездом Давыдовским 5-ым, улицами Сутырина, Индустриальной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3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Том </w:t>
      </w:r>
      <w:r>
        <w:rPr>
          <w:rFonts w:ascii="Times New Roman" w:hAnsi="Times New Roman"/>
          <w:sz w:val="26"/>
          <w:szCs w:val="26"/>
          <w:lang w:val="en-US"/>
        </w:rPr>
        <w:t xml:space="preserve">I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Проект</w:t>
      </w:r>
      <w:r>
        <w:rPr>
          <w:rFonts w:ascii="Times New Roman" w:hAnsi="Times New Roman"/>
          <w:bCs/>
          <w:sz w:val="26"/>
          <w:szCs w:val="26"/>
        </w:rPr>
        <w:t xml:space="preserve"> планировки территории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Основная часть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Внести в часть 2 Тома 1 основные положения проекта планировки территории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шоссе Кинешемским, улицами Маршала Устинова, Долгая поляна, Сутырина, проездом Давыдовским 5-ым, улицами Сутырина, Индустриальной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твержденного постановлением Администрации города Костромы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 сентября 2018 года № 2020, с изменениями, внесенными постановлениями Администрации города Костромы от 7 октября 2020 года № 1887, от 23 сентября 2024 года № 1674),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следующие изменения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1. Основные положения проекта планировки территории изложить в новой редакции: 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pStyle w:val="841"/>
        <w:ind w:firstLine="709"/>
        <w:jc w:val="center"/>
        <w:rPr>
          <w:b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«</w:t>
      </w:r>
      <w:r>
        <w:rPr>
          <w:b/>
          <w:sz w:val="26"/>
          <w:szCs w:val="26"/>
        </w:rPr>
        <w:t xml:space="preserve">Основная часть проекта планировки территории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1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Часть 1.2.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Положения в текстовой форме</w:t>
      </w:r>
      <w:r/>
    </w:p>
    <w:p>
      <w:pPr>
        <w:pStyle w:val="841"/>
        <w:ind w:firstLine="1077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</w:rPr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</w:r>
    </w:p>
    <w:p>
      <w:pPr>
        <w:pStyle w:val="841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I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. Положения о характеристиках планируемого развития территории</w:t>
      </w:r>
      <w:r>
        <w:rPr>
          <w:rFonts w:ascii="Times New Roman" w:hAnsi="Times New Roman"/>
          <w:b/>
          <w:color w:val="000000"/>
          <w:sz w:val="26"/>
          <w:szCs w:val="26"/>
        </w:rPr>
      </w:r>
      <w:r>
        <w:rPr>
          <w:rFonts w:ascii="Times New Roman" w:hAnsi="Times New Roman"/>
          <w:b/>
          <w:color w:val="000000"/>
          <w:sz w:val="26"/>
          <w:szCs w:val="26"/>
        </w:rPr>
      </w:r>
    </w:p>
    <w:p>
      <w:pPr>
        <w:pStyle w:val="84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</w:t>
      </w:r>
      <w:r>
        <w:rPr>
          <w:rFonts w:ascii="Times New Roman" w:hAnsi="Times New Roman"/>
          <w:color w:val="000000"/>
          <w:sz w:val="26"/>
          <w:szCs w:val="26"/>
        </w:rPr>
        <w:t xml:space="preserve">.  Положения о плотности и параметрах застройки территории (в пределах, установленных градостроительным регламентом);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1"/>
        <w:ind w:firstLine="709"/>
        <w:jc w:val="both"/>
        <w:tabs>
          <w:tab w:val="left" w:pos="1245" w:leader="none"/>
          <w:tab w:val="left" w:pos="153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Положения о характеристиках объектов капитального строительства жилого, производственного, общественно-делового и иного назначения;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1"/>
        <w:ind w:firstLine="709"/>
        <w:jc w:val="both"/>
        <w:tabs>
          <w:tab w:val="left" w:pos="1245" w:leader="none"/>
          <w:tab w:val="left" w:pos="153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Положения о характеристиках объектов коммунальной инфраструктуры, в том числе объектов,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1"/>
        <w:ind w:firstLine="709"/>
        <w:jc w:val="both"/>
        <w:tabs>
          <w:tab w:val="left" w:pos="1245" w:leader="none"/>
          <w:tab w:val="left" w:pos="153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Положения о характеристиках объектов транспортной инфраструктуры, в том числе объектов,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1"/>
        <w:ind w:firstLine="709"/>
        <w:jc w:val="both"/>
        <w:tabs>
          <w:tab w:val="left" w:pos="1245" w:leader="none"/>
          <w:tab w:val="left" w:pos="153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 Положения о характеристиках объектов социальной инфраструктуры, в том числе объектов,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1"/>
        <w:ind w:firstLine="709"/>
        <w:jc w:val="both"/>
        <w:tabs>
          <w:tab w:val="left" w:pos="907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6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. Положения о характеристиках зон планируемого размещения объектов федерального значения, объектов регионального значения, объектов местного значения. Положения о плотности и параметрах застройки территории, необходимые для размещения указанных объектов;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7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.  Информация о планируемых мероприятиях по обеспечению сохранения применительно к территориальным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1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841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II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. Положения об очередности планируемого развития территории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41"/>
        <w:contextualSpacing/>
        <w:ind w:firstLine="709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Этапы проектирования, строительства, реконструкции о</w:t>
      </w:r>
      <w:r>
        <w:rPr>
          <w:rFonts w:ascii="Times New Roman" w:hAnsi="Times New Roman"/>
          <w:color w:val="000000"/>
          <w:sz w:val="26"/>
          <w:szCs w:val="26"/>
        </w:rPr>
        <w:t xml:space="preserve">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</w:t>
      </w:r>
      <w:r>
        <w:rPr>
          <w:rFonts w:ascii="Times New Roman" w:hAnsi="Times New Roman"/>
          <w:color w:val="000000"/>
          <w:sz w:val="26"/>
          <w:szCs w:val="26"/>
        </w:rPr>
        <w:t xml:space="preserve">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pStyle w:val="841"/>
        <w:contextualSpacing/>
        <w:ind w:firstLine="709"/>
        <w:jc w:val="both"/>
        <w:spacing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I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. Положения о характеристиках планируемого развития территории</w:t>
      </w:r>
      <w:r>
        <w:rPr>
          <w:rFonts w:ascii="Times New Roman" w:hAnsi="Times New Roman"/>
          <w:b/>
          <w:color w:val="000000"/>
          <w:sz w:val="26"/>
          <w:szCs w:val="26"/>
        </w:rPr>
      </w:r>
      <w:r>
        <w:rPr>
          <w:rFonts w:ascii="Times New Roman" w:hAnsi="Times New Roman"/>
          <w:b/>
          <w:color w:val="000000"/>
          <w:sz w:val="26"/>
          <w:szCs w:val="26"/>
        </w:rPr>
      </w:r>
    </w:p>
    <w:p>
      <w:pPr>
        <w:pStyle w:val="841"/>
        <w:contextualSpacing/>
        <w:ind w:firstLine="709"/>
        <w:jc w:val="both"/>
        <w:spacing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pStyle w:val="841"/>
        <w:contextualSpacing/>
        <w:ind w:firstLine="709"/>
        <w:jc w:val="both"/>
        <w:spacing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Положения о плотности и параметрах застройки территории (в пределах, установленных градостроительным регламентом)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pStyle w:val="841"/>
        <w:contextualSpacing/>
        <w:ind w:firstLine="709"/>
        <w:jc w:val="both"/>
        <w:spacing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pStyle w:val="841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В соответствии с Генеральным планом города Костромы территория в границах проекта планировки территории расположена в следующих функциональных зонах: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41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зона застройки многоэтажными жилыми домами (9 этажей и более);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41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зона застройки индивидуальными жилыми домами;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41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многофункциональная общественно-деловая зона;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41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зона специализированной общественной застройки;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41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- зона рекреационного назначения.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pStyle w:val="841"/>
        <w:contextualSpacing/>
        <w:ind w:firstLine="709"/>
        <w:jc w:val="both"/>
        <w:spacing w:line="240" w:lineRule="auto"/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Предельные параметры разрешенного строительства объектов капитального строительства устанавливаются Правилами землепользования и застройки города Костромы, действующими на момент оформления градостроительного плана земельного участка.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Виды разрешенного использования земельных участков и объектов капитального ст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роительства устанавливаются настоящим проектом планировки территории, а также в соответствии с Правилами землепользования и застройки города Костромы.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Выбор вида разрешенного использования земельных 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частков, расположенных в санитарно-защитной зоне существующих объектов, для которых в соответствии с действующим законодательством должна быть установлена санитарно-защитная зона,, определяются в соответствии с режимами территории санитарно-защитной зоны 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СанПин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2.2.1/2.1.1.1200-03, пункт 5.3). При размещении объектов капитального строительства, требующих установления своей санитарно-защитной зоны, необходимо учитывать существующую застройку.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contextualSpacing/>
        <w:ind w:firstLine="851"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Плотность и параметры застройки территории приведены в таблице 1.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34"/>
        <w:ind w:right="56"/>
        <w:jc w:val="right"/>
        <w:widowControl w:val="off"/>
        <w:rPr>
          <w:rFonts w:ascii="Times New Roman" w:hAnsi="Times New Roman" w:eastAsia="Times New Roman" w:cs="Times New Roman"/>
          <w:b/>
          <w:bCs/>
          <w:i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iCs/>
          <w:sz w:val="26"/>
          <w:szCs w:val="26"/>
        </w:rPr>
        <w:t xml:space="preserve">Таблица 1</w:t>
      </w: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iCs/>
          <w:sz w:val="26"/>
          <w:szCs w:val="26"/>
          <w:highlight w:val="none"/>
        </w:rPr>
      </w:r>
    </w:p>
    <w:tbl>
      <w:tblPr>
        <w:tblW w:w="10335" w:type="dxa"/>
        <w:jc w:val="center"/>
        <w:tblInd w:w="-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66"/>
        <w:gridCol w:w="5091"/>
        <w:gridCol w:w="1575"/>
        <w:gridCol w:w="1715"/>
      </w:tblGrid>
      <w:tr>
        <w:tblPrEx/>
        <w:trPr>
          <w:trHeight w:val="9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ind w:right="56"/>
              <w:spacing w:line="240" w:lineRule="auto"/>
              <w:widowControl w:val="o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 xml:space="preserve"> № п/п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1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6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-123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 xml:space="preserve">Единицы измерени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</w:rPr>
              <w:t xml:space="preserve">я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ind w:right="-108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 xml:space="preserve">Количество по проекту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blPrEx/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6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1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6"/>
              <w:spacing w:line="240" w:lineRule="auto"/>
              <w:widowControl w:val="off"/>
              <w:rPr>
                <w:rFonts w:ascii="Times New Roman" w:hAnsi="Times New Roman" w:eastAsia="Times New Roman" w:cs="Times New Roman"/>
                <w:i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 xml:space="preserve">Территория в границах красных линий</w:t>
            </w: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6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 xml:space="preserve">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vAlign w:val="top"/>
            <w:textDirection w:val="lrTb"/>
            <w:noWrap w:val="false"/>
          </w:tcPr>
          <w:p>
            <w:pPr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26,3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</w:p>
        </w:tc>
      </w:tr>
      <w:tr>
        <w:tblPrEx/>
        <w:trPr>
          <w:trHeight w:val="7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6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1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6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Территория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6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vAlign w:val="top"/>
            <w:textDirection w:val="lrTb"/>
            <w:noWrap w:val="false"/>
          </w:tcPr>
          <w:p>
            <w:pPr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11,15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blPrEx/>
        <w:trPr>
          <w:trHeight w:val="4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1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ind w:right="57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Территории объектов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многофункциональной общественно-деловой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2,67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339" w:hanging="34"/>
              <w:jc w:val="righ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1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339" w:hanging="34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Территория объектов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0,83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ind w:right="57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1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Территория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ind w:right="57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</w:pPr>
            <w:r/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12,3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1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Коэффициент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en-US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1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Коэффициент плотности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en-US"/>
              </w:rPr>
              <w:t xml:space="preserve">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1" w:type="dxa"/>
            <w:vAlign w:val="center"/>
            <w:textDirection w:val="lrTb"/>
            <w:noWrap w:val="false"/>
          </w:tcPr>
          <w:p>
            <w:pPr>
              <w:contextualSpacing/>
              <w:ind w:right="57"/>
              <w:spacing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34"/>
              <w:contextualSpacing/>
              <w:ind w:right="57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Плотность населения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чел/га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vAlign w:val="top"/>
            <w:textDirection w:val="lrTb"/>
            <w:noWrap w:val="false"/>
          </w:tcPr>
          <w:p>
            <w:pPr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</w:p>
        </w:tc>
      </w:tr>
      <w:tr>
        <w:tblPrEx/>
        <w:trPr>
          <w:trHeight w:val="8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1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Площадь озеленения жилой зоны (на 1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/чел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1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Жилищная обеспеченность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ind w:right="57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на 1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/чел.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vAlign w:val="top"/>
            <w:textDirection w:val="lrTb"/>
            <w:noWrap w:val="false"/>
          </w:tcPr>
          <w:p>
            <w:pPr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</w:p>
        </w:tc>
      </w:tr>
      <w:tr>
        <w:tblPrEx/>
        <w:trPr>
          <w:trHeight w:val="8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1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contextualSpacing/>
              <w:ind w:right="57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Численность населения (расчетная)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ind w:right="57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  <w:t xml:space="preserve">4092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en-US"/>
              </w:rPr>
            </w:r>
          </w:p>
        </w:tc>
      </w:tr>
    </w:tbl>
    <w:p>
      <w:pPr>
        <w:pStyle w:val="841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841"/>
        <w:ind w:firstLine="709"/>
        <w:jc w:val="both"/>
        <w:tabs>
          <w:tab w:val="left" w:pos="1245" w:leader="none"/>
          <w:tab w:val="left" w:pos="1530" w:leader="none"/>
        </w:tabs>
        <w:rPr>
          <w:rFonts w:ascii="Times New Roman" w:hAnsi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2. Положения о характеристиках объектов капитального строительства жилого, производственного, общественно-делового и иного назначения</w:t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1245" w:leader="none"/>
          <w:tab w:val="left" w:pos="153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1"/>
        <w:ind w:firstLine="709"/>
        <w:jc w:val="both"/>
        <w:tabs>
          <w:tab w:val="left" w:pos="1245" w:leader="none"/>
          <w:tab w:val="left" w:pos="1530" w:leader="none"/>
        </w:tabs>
        <w:rPr>
          <w:rFonts w:ascii="Times New Roman" w:hAnsi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Проектом планировк</w:t>
      </w: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и территории строительство новых объектов жилого и производственного назначения не предусматривается. Реконструкция существующих объектов капитального строительства, а также строительство новых объектов капитального строительства на месте существующих, про</w:t>
      </w: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изводится в установленном порядке в соответствии с Правилами землепользования и застройки города Костромы, Местными нормативами градостроительного проектирования города Костромы, иными нормативными актами, с учетом настоящего проекта планировки территории.</w:t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1245" w:leader="none"/>
          <w:tab w:val="left" w:pos="1530" w:leader="none"/>
        </w:tabs>
        <w:rPr>
          <w:rFonts w:ascii="Times New Roman" w:hAnsi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Проектом планировки территории предусмотрено размещение объекта спорта в границах зоны зеленых насаждений общего пользования по улице Индустриальной. </w:t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В соответствии с Правилами землепользования и застройки города Костромы объект спорта – плавательный бассейн общего пользования, предусмотрен в территориальной зоне Р-1 и относится к условно разрешенным видам использования.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firstLine="709"/>
        <w:jc w:val="right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Таблица 2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Style w:val="690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Наименование вида объекта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Наименование расчетного показателя, единица измерения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Передельные значения расчетного показателя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Количество по проекту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599"/>
        </w:trPr>
        <w:tc>
          <w:tcPr>
            <w:tcW w:w="233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Плавательный бассейн общего пользования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/>
          </w:p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Количество объектов на 30000 чел.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875"/>
        </w:trPr>
        <w:tc>
          <w:tcPr>
            <w:tcW w:w="23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Площадь зеркала воды бассейна общего пользования, кв. м на 1 000 чел.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/>
          </w:p>
          <w:p>
            <w:pPr>
              <w:contextualSpacing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325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pStyle w:val="841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41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</w:t>
      </w:r>
      <w:r>
        <w:rPr>
          <w:rFonts w:ascii="Times New Roman" w:hAnsi="Times New Roman"/>
          <w:b/>
          <w:bCs/>
          <w:sz w:val="26"/>
          <w:szCs w:val="26"/>
        </w:rPr>
        <w:t xml:space="preserve">. Положения о характеристиках объектов коммунальной инфраструктуры, в том числе объектов,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Программой комплексного развития систем коммунальной инфраструктуры городского округа город Кострома на 2016-2025 годы, утвержденной решением Думы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города Костромы от 27 октября 2016 года № 208, а также Генеральным планом города Костромы на территории в границах проекта планировки не предусмотрены мероприятия по строительству объектов местного значения в области объектов коммунальной инфраструктуры.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Расчетные показатели в области электро-, тепло-, газо- и водоснабжения населения устанавливаются Местными нормативами градостроительного проектирования города Костромы.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Подключение объе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ктов капитального строительства к сетям инженерно-технического обеспечения осуществляется в установленном порядке путем заключения соответствующих договоров на технологическое присоединение, с учетом технических условий организаций коммунального комплекса.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Для планируемого объекта спорта предусматривается: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- помещение индивидуального теплового пункта.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Источник теплоснабжения здания модульного бассейна с котлами наружного размещения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предназначен для работы в районе с расчетной зимней температурой наружного воздуха – минус 23°С *.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Для нужд горячего водоснабжения предусмотрена установка пластинчатых теплообменников,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расположенных в модуле индивидуального теплового пункта.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помещение электрощитовой и полного комплекта всего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необходимого технологического оснащения, для электроснабжения всего модульного плавательного</w:t>
      </w:r>
      <w: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бассейна.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Модуль укомплектован вводным распределительным устройством (ВРУ) в составе:</w:t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– счетчик электроэнергии;</w:t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– трансформаторы тока с коэффициентом трансформации 100/10;</w:t>
      </w:r>
      <w:r/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щитовое оборудование.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Также модуль электрощитовой оборудован распределительными силовыми щитами и щитами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системы освещения, оборудованными автоматическими выключателями соответствующего наминала.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питающая сеть электроснабжения прокладывается в футляре через основание. Точка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подключения 0,5м от обреза фундамента.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ввод сетей водоснабжения в сооружение осуществляется по трубам по ГОСТ 18599-2001 Ø63х3,8мм.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Гарантированный напор в точке подключения 5м. Модульное сооружение укомплектовано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повысительной насосной станцией системы водоснабжения.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планируемый объект обеспечивается системой водоотведения.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Сброс стоков от модульного сооружения предусмотрен в несколько выпусков Ø110/125мм с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последующим присоединением к внутриплощадочной наружной сети канализации.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Материалы,  применяемые в системе водоотведения комплекта, должны соответствовать требованиям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действующих нормативно-правовых актов, в том числе: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СП 30.13330.2020 «Внутренний водопровод и канализация зданий»;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СП 32.13330.2018 «Канализация. Наружные сети и сооружения»;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СП 40-102-2000 «Проектирование и монтаж трубопроводов систем водоснабжения 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канализации из полимерных материалов»;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СП 310.1325800.2017. Свод правил. Бассейны для плавания. Правила проектирования".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4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. Положения о характеристиках объектов транспортной инфраструктуры, в том числе объектов,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Мероприятия, предусмотренные Генеральным планом города Костромы и Программой комплексного развития систем транспортной инфраструктуры города Костромы: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реконструкция магистральной улицы общегородского значения 3 класса шоссе Кинешемское;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строительство развязки в одном уровне на пересечении улицы Индустриальной и шоссе Кинешемского;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реконструкция магистральной улицы общегородского значения 3 класса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улица Индустриальная;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реконструкция магистральной улицы районного значения улица Долгая поляна;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реконструкция магистральной улицы районного значения улица Сутырина.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Проектом планировки территории устанавливаются следующие параметры улиц, ограничивающих планируемую территорию: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Таблица 3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tbl>
      <w:tblPr>
        <w:tblStyle w:val="690"/>
        <w:tblW w:w="0" w:type="auto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6"/>
        <w:gridCol w:w="1336"/>
      </w:tblGrid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Категория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Ширина в красных линиях, 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Ширина проезжей части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Число полос движения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Ширина полосы движения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Тротуар, 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Шоссе Кинешемское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Магистральная улица общегородского значения 3 класса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 (с двух сторон)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Индустриальная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Магистральная улица общегородского значения 3 класса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 (с двух сторон)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Сутырина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Магистральная улица районного значения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2,0 (с двух сторон)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Долгая поляна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Магистральная улица районного значения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3,75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 (с двух сторон)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маршала Устинова (ул. Бульварная)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местного значения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 (два тротуара с одной стороны)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Проезд Давыдовский 5-й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местного значения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9,0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1,0 (с двух сторон)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Проезд Давыдовский 6-й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Улица местного значения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12,5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2,0 (с двух сторон)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  <w:t xml:space="preserve">Проектом планировки территории учтены мероприятия по строительству транспортной развязки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 одном уровне на пересечении улицы Индустриальной и шоссе Кинешемского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ab/>
        <w:t xml:space="preserve">Проектом планировки территории вдол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ь улицы Индустриальной предусмотрены автостоянки общего пользования в границах зоны многоэтажной жилой застройки. Вдоль шоссе Кинешемского напротив дома 68 в границах зоны зеленых насаждений специального назначения предусмотрена стоянка общего пользования.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jc w:val="right"/>
        <w:spacing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Таблица 4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tbl>
      <w:tblPr>
        <w:tblStyle w:val="690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</w:tblGrid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Тип расчетного показателя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Наименование расчетного показателя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Предельное значение расчетного показателя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Максимальное значение по проекту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Расчетный показатель максимально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допустимого уровня обеспеченности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Обеспеченность машино-местами для хранения автотранспорта на территориях общего пользования (вдоль дорог, открытые парковки), 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Расчетное количество маши-мест для планируемого объекта спорта: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jc w:val="right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Таблица 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tbl>
      <w:tblPr>
        <w:tblStyle w:val="690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1184"/>
        <w:gridCol w:w="1155"/>
      </w:tblGrid>
      <w:tr>
        <w:tblPrEx/>
        <w:trPr>
          <w:trHeight w:val="699"/>
        </w:trPr>
        <w:tc>
          <w:tcPr>
            <w:tcW w:w="233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Тип расчетного показателя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Наименование расчетного показателя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gridSpan w:val="3"/>
            <w:tcW w:w="4677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Предельное (минимальное) значение расчетного показателя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487"/>
        </w:trPr>
        <w:tc>
          <w:tcPr>
            <w:tcW w:w="233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территория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18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значение по нормативу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15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Расчет по проекту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Расчетный показатель минимально допустимого уровня обеспеченности</w:t>
              <w:br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Количество единовременных посетителей на 1 машино-место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before="0" w:after="0" w:line="57" w:lineRule="atLeast"/>
            </w:pPr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бассейны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6 машино-мест при обеспеченности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36 чел/в смену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Размещение парковок индивидуального автомобильного транспорта и приобъектных автостоянок, в том числе для маломобильных групп населения осуществляется в соответствии с таблицей 7 и пунктов 1.4.1-1.4.8 Местных нормативов градостроительного проектирования.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ab/>
        <w:t xml:space="preserve">Схема движения общественного транспорта проектом планировки территории не изменяется. Движение общественного транспорта осуществляется по улице Индустриальной, Маршала Устинова, шоссе Кинешемскому, улице Сутырина.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contextualSpacing/>
        <w:jc w:val="right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Таблица 6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tbl>
      <w:tblPr>
        <w:tblW w:w="9510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829"/>
        <w:gridCol w:w="1419"/>
        <w:gridCol w:w="1310"/>
        <w:gridCol w:w="12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825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Ед. изм.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309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Современное состояние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Состояние на расч. 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82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Протяженность улично-дорожной сети, 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309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82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Магистральные улицы общегородского значения регулируемого движения: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шоссе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Кинешемское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Индустриальная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309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82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Магистральные улицы районного значения: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улица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Долгая поляна,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Сутырина.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309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ind w:left="-10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825" w:type="dxa"/>
            <w:vAlign w:val="top"/>
            <w:textDirection w:val="lrTb"/>
            <w:noWrap w:val="false"/>
          </w:tcPr>
          <w:p>
            <w:pPr>
              <w:pStyle w:val="83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Улицы местного значения: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улица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Маршала Устинова (ул. Бульварная),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проезд Давыдовский 5-й,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проезд Давыдовский 6-й,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Сутырина.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309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4"/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5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. Положения о характеристиках объектов социальной инфраструктуры, в том числе объектов, включенных в программы комплексного развития социальной инфраструктуры и необходимых для развития территории в границах э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лемента планировочной структуры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Генеральным планом города Костромы, муниципальной программой комплексного развития систем социальной инфраструктуры объектов социальной инфраструктуры в границах проекта планировки территории не предусмотрено.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Проектом планировки территории новых объектов социальной инфраструктуры не планируется.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В границах планируемой территории расположены: объект здравоохранения (микрорайон Давыдовский 3-й, 12а), объект спорта (микрорайон Давыдовский 3-й, 44), объект детского дошкольного образования (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микрорайон Давыдовский 3-й, 36), кадетская школа-интернат (шоссе Кинешемское, 72), объект торговли (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микрорайон Давыдовский 3-й, 32).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Во встроенно-пристроенных помещениях многоквартирных жилых домов размещаются объекты обслуживания населения.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Реконструкция существующих объектов капитального строительства осуществляется в соответствии с действующим законодатель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ством, с градостроительными регламентами, установленными Правилами землепользования и застройки города Костромы для соответствующей территориальной зоны, с учетом зон планируемого размещения объектов, установленных настоящим проектом планировки территории.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1245" w:leader="none"/>
          <w:tab w:val="left" w:pos="1530" w:leader="none"/>
        </w:tabs>
        <w:rPr>
          <w:rFonts w:ascii="Times New Roman" w:hAnsi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Проектом планировки территории предусмотрено размещение объекта спорта в границах зоны зеленых насаждений общего пользования по улице Индустриальной. </w:t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color w:val="000000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</w:rPr>
        <w:t xml:space="preserve">В соответствии с Правилами землепользования и застройки города Костромы объект спорта – плавательный бассейн общего пользования, предусмотрен в территориальной зоне Р-1 и относится к условно разрешенным видам использования.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Характеристики планируемого объекта спорта представлены в таблице 7.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firstLine="709"/>
        <w:jc w:val="right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Таблица 7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Style w:val="690"/>
        <w:tblW w:w="0" w:type="auto"/>
        <w:tblLook w:val="04A0" w:firstRow="1" w:lastRow="0" w:firstColumn="1" w:lastColumn="0" w:noHBand="0" w:noVBand="1"/>
      </w:tblPr>
      <w:tblGrid>
        <w:gridCol w:w="1839"/>
        <w:gridCol w:w="1595"/>
        <w:gridCol w:w="761"/>
        <w:gridCol w:w="1234"/>
        <w:gridCol w:w="1413"/>
        <w:gridCol w:w="1184"/>
        <w:gridCol w:w="1328"/>
        <w:gridCol w:w="1328"/>
      </w:tblGrid>
      <w:tr>
        <w:tblPrEx/>
        <w:trPr/>
        <w:tc>
          <w:tcPr>
            <w:tcW w:w="1839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Пропускная способность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7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Кол-во смен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Площадь зеркала воды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Этажность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Общая площадь здания, м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r>
          </w:p>
        </w:tc>
        <w:tc>
          <w:tcPr>
            <w:tcW w:w="13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Площадь застройки (без учета входных групп), м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r>
          </w:p>
        </w:tc>
        <w:tc>
          <w:tcPr>
            <w:tcW w:w="1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Процент застройки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839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Плавательный бассейн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36 чел/смену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23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325 м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vertAlign w:val="superscript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1-2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1455,80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1490,41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34,4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contextualSpacing/>
        <w:ind w:firstLine="709"/>
        <w:jc w:val="both"/>
        <w:spacing w:line="24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Характеристики планируемого объекта могут быть уточнены, но не могут быть выше предельных параметров, установленных Правилами землепользования и застройки города Костромы для территориальной зоны зеленых насаждений общего пользования Р-1.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907" w:leader="none"/>
        </w:tabs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6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. Положения о характеристиках зон планируемого размещения объектов федерального значения, объектов регионального значения, объектов местного значения. Положения о плотности и параметрах застройки территории, необходимые для размещения указанных объектов.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907" w:leader="none"/>
        </w:tabs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</w:r>
      <w:r>
        <w:rPr>
          <w:rFonts w:ascii="Times New Roman" w:hAnsi="Times New Roman"/>
          <w:b w:val="0"/>
          <w:bCs w:val="0"/>
          <w:sz w:val="26"/>
          <w:szCs w:val="26"/>
        </w:rPr>
      </w:r>
      <w:r>
        <w:rPr>
          <w:rFonts w:ascii="Times New Roman" w:hAnsi="Times New Roman"/>
          <w:b w:val="0"/>
          <w:bCs w:val="0"/>
          <w:sz w:val="26"/>
          <w:szCs w:val="26"/>
        </w:rPr>
      </w:r>
    </w:p>
    <w:p>
      <w:pPr>
        <w:pStyle w:val="841"/>
        <w:ind w:firstLine="709"/>
        <w:jc w:val="both"/>
        <w:tabs>
          <w:tab w:val="left" w:pos="907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  <w:t xml:space="preserve">Генеральным планом города Костромы строительство объектов федерального значения, объектов регионального значения и объектов местного значения не предусмотрено.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907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  <w:t xml:space="preserve">Проектом планировки территории устанавливается граница функциональной зоны зеленых насаждений общего пользования, в которой предусмотрено размещение планируемого объекта спорта.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pStyle w:val="841"/>
        <w:contextualSpacing/>
        <w:ind w:firstLine="709"/>
        <w:jc w:val="both"/>
        <w:tabs>
          <w:tab w:val="left" w:pos="907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  <w:t xml:space="preserve">Предельные параметры разрешенного строительства объекта спорта устанавливаются градостроительным регламентом Правил землепользования и застройки города Костромы.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225" w:leader="none"/>
          <w:tab w:val="left" w:pos="510" w:leader="none"/>
        </w:tabs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7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.  Информация о планируемых мероприятиях по обеспечению сохранения применительно к территориальным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pStyle w:val="841"/>
        <w:ind w:firstLine="709"/>
        <w:jc w:val="right"/>
        <w:tabs>
          <w:tab w:val="left" w:pos="1530" w:leader="none"/>
        </w:tabs>
        <w:rPr>
          <w:rFonts w:ascii="Times New Roman" w:hAnsi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  <w:t xml:space="preserve">Таблица 8</w:t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</w:rPr>
      </w:r>
    </w:p>
    <w:tbl>
      <w:tblPr>
        <w:tblStyle w:val="690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>
        <w:tblPrEx/>
        <w:trPr>
          <w:trHeight w:val="536"/>
        </w:trPr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41"/>
              <w:jc w:val="both"/>
              <w:tabs>
                <w:tab w:val="left" w:pos="153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841"/>
              <w:jc w:val="both"/>
              <w:tabs>
                <w:tab w:val="left" w:pos="153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Объект спорта (плавательный бассейн общего пользования)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841"/>
              <w:jc w:val="both"/>
              <w:tabs>
                <w:tab w:val="left" w:pos="153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41"/>
              <w:jc w:val="both"/>
              <w:tabs>
                <w:tab w:val="left" w:pos="1530" w:leader="none"/>
              </w:tabs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highlight w:val="none"/>
              </w:rPr>
              <w:t xml:space="preserve">Транспортная доступность, мин.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b/>
                <w:bCs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Расчетный показатель максимально допустимого уровня территориальной доступности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</w:r>
          </w:p>
        </w:tc>
      </w:tr>
      <w:tr>
        <w:tblPrEx/>
        <w:trPr/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41"/>
              <w:jc w:val="center"/>
              <w:tabs>
                <w:tab w:val="left" w:pos="153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30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41"/>
              <w:jc w:val="center"/>
              <w:tabs>
                <w:tab w:val="left" w:pos="153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Не нормируется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</w:tc>
      </w:tr>
    </w:tbl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  <w:t xml:space="preserve">В непосредственной близости от земельного участка, на котором предусмотрено строительства объекта спорта проходят сети водопровода, канализации, ливневой канализации, сети связи и электричества, газ низкого давления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en-US"/>
        </w:rPr>
        <w:t xml:space="preserve">d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=159.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Фактическая доступность от остановки общественного транспорта (остановка «микрорайон Давыдовский -1) - 200 метров; от остановки общественного транспорта «остановка «Техникум торговли») - 315 метров.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Территория в границах проекта планировки застроена объектами жилого назначения многоэтажными многоквартирными жилыми домами. В границах территории расположены: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- объект детского дошкольного образования по адресу: мкр. Давыдовский -3, д. 36;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- спортивная школа олимпийского резерва им.олимпийского чемпиона А. В. Голубева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по адресу: мкр. Давыдовский -3, д. 44;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- объект здравоохранения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ОГБУЗ «Родильный дом г. Костромы. Женская консультация № 1»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по адресу: мкр. Давыдовский -3, д. 12а;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- ОГБОУ «Кадетская школа-интернат «Костромской кадетский корпус Государя и Великого князя Михаила Федоровича» по адресу: шоссе Кинешемское, 72.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Проектом планировки территории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обеспечивается сохранение применительно к территориальным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зонам, в которых планируется размещение объекта спорта,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объекта спорта для населения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II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. Положения об очередности планируемого развития территории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41"/>
        <w:contextualSpacing/>
        <w:ind w:firstLine="709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Этапы проектирования, строительства, реконструкции о</w:t>
      </w:r>
      <w:r>
        <w:rPr>
          <w:rFonts w:ascii="Times New Roman" w:hAnsi="Times New Roman"/>
          <w:color w:val="000000"/>
          <w:sz w:val="26"/>
          <w:szCs w:val="26"/>
        </w:rPr>
        <w:t xml:space="preserve">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</w:t>
      </w:r>
      <w:r>
        <w:rPr>
          <w:rFonts w:ascii="Times New Roman" w:hAnsi="Times New Roman"/>
          <w:color w:val="000000"/>
          <w:sz w:val="26"/>
          <w:szCs w:val="26"/>
        </w:rPr>
        <w:t xml:space="preserve">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Реализация проекта планировки территории осуществляется в несколько этапов, которые предусматривают следующие мероприятия: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  <w:lang w:val="ru-RU"/>
        </w:rPr>
        <w:t xml:space="preserve">Первый этап: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Разработка проектно-сметной документации по объекту спорта.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Строительство объекта спорта.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Благоустройство территории объекта спорта.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  <w:t xml:space="preserve">Ввод в эксплуатацию объекта спорта.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  <w:lang w:val="ru-RU"/>
        </w:rPr>
        <w:t xml:space="preserve">Второй этап*: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  <w:lang w:val="ru-RU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u w:val="single"/>
          <w:lang w:val="ru-RU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lang w:val="ru-RU"/>
        </w:rPr>
        <w:t xml:space="preserve">Реализация мероприятий в области развития улично-дорожной сети, предусматривающих разработку проектной документации по:</w:t>
      </w:r>
      <w:r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/>
        </w:rPr>
      </w:r>
      <w:r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реконструкции магистральной улицы общегородского значения 3 класса шоссе Кинешемское;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строительству развязки в одном уровне на пересечении улицы Индустриальной и шоссе Кинешемского;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реконструкции магистральной улицы общегородского значения 3 класса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улица Индустриальная;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реконструкции магистральной улицы районного значения улица Долгая поляна;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- реконструкции магистральной улицы районного значения улица Сутырина.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u w:val="single"/>
        </w:rPr>
        <w:t xml:space="preserve">Третий этап*: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u w:val="singl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Реконструкция магистральной улицы общегородского значения 3 класса шоссе Кинешемское;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Строительство развязки в одном уровне на пересечении улицы Индустриальной и шоссе Кинешемского;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Реконструкция магистральной улицы общегородского значения 3 класса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улица Индустриальная;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Реконструкция магистральной улицы районного значения улица Долгая поляна;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Реконструкция магистральной улицы районного значения улица Сутырина.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*Примечание. Очередность разработки проектной д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окументации, реконструкция и стр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оительство осуществляется по мере определения органом местного самоуправления города Костромы необходимости первоочередной реализации соответствующих мероприятий по реконструкции, строительству улично-дорожной сети с учетом обеспечения их финансирования.».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2. В часть 1 «Графические материалы» Тома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проекта планировки территории внести следующие изменения.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2.1. На чертеже красных линий: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2.1.1. Устанавливаемую красную линию по улице Долгая поляна от точки 109 до точки 110 считать отменяемой;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2.1.2. Установить, что красная линия по улице Долгая поляна взамен отменяемой красной линии от точки 109 до точки 110 ус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тановлена документацией по планировке территории, ограниченной улицами Профсоюзной, Индустриальной, Долгая поляна, Маршала Устинова, утвержденной постановлением Администрации города Костромы от 19 июня 2023 года № 1050, в виде проекта межевания территории.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none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none"/>
          <w:u w:val="none"/>
        </w:rPr>
      </w:r>
      <w:r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none"/>
          <w:u w:val="none"/>
        </w:rPr>
      </w:r>
    </w:p>
    <w:p>
      <w:pPr>
        <w:pStyle w:val="841"/>
        <w:ind w:firstLine="709"/>
        <w:jc w:val="both"/>
        <w:tabs>
          <w:tab w:val="left" w:pos="1530" w:leader="none"/>
        </w:tabs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none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lang w:val="ru-RU"/>
        </w:rPr>
      </w:r>
      <w:r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none"/>
          <w:u w:val="none"/>
        </w:rPr>
      </w:r>
      <w:r>
        <w:rPr>
          <w:rFonts w:ascii="Times New Roman" w:hAnsi="Times New Roman"/>
          <w:b w:val="0"/>
          <w:bCs w:val="0"/>
          <w:i w:val="0"/>
          <w:color w:val="000000"/>
          <w:sz w:val="26"/>
          <w:szCs w:val="26"/>
          <w:highlight w:val="none"/>
          <w:u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alibri">
    <w:panose1 w:val="020F0502020204030204"/>
  </w:font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Courier New">
    <w:panose1 w:val="02070309020205020404"/>
  </w:font>
  <w:font w:name="Times New Roman">
    <w:panose1 w:val="02020603050405020304"/>
  </w:font>
  <w:font w:name="Mangal">
    <w:panose1 w:val="02040503050203030202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Основной текст 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1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SimSun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4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SimSu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2024-12-27T13:44:40Z</dcterms:modified>
</cp:coreProperties>
</file>