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8"/>
        <w:jc w:val="center"/>
        <w:rPr>
          <w:highlight w:val="none"/>
          <w:shd w:val="clear" w:color="auto" w:fill="auto"/>
        </w:rPr>
      </w:pPr>
      <w:r>
        <w:rPr>
          <w:shd w:val="clear" w:color="auto" w:fill="auto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rPr>
          <w:highlight w:val="none"/>
          <w:shd w:val="clear" w:color="auto" w:fill="auto"/>
        </w:rPr>
      </w:pPr>
      <w:r>
        <w:rPr>
          <w:shd w:val="clear" w:color="auto" w:fill="auto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76950" cy="742950"/>
                <wp:effectExtent l="0" t="0" r="0" b="0"/>
                <wp:docPr id="2" name="Рисунок 2" descr="пос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пост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0769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8.50pt;height:58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tbl>
      <w:tblPr>
        <w:tblW w:w="9639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85"/>
        <w:gridCol w:w="5670"/>
        <w:gridCol w:w="884"/>
      </w:tblGrid>
      <w:tr>
        <w:tblPrEx/>
        <w:trPr>
          <w:trHeight w:val="20"/>
        </w:trPr>
        <w:tc>
          <w:tcPr>
            <w:shd w:val="clear" w:color="auto" w:fill="auto"/>
            <w:tcBorders>
              <w:bottom w:val="single" w:color="000000" w:sz="4" w:space="0"/>
            </w:tcBorders>
            <w:tcW w:w="3085" w:type="dxa"/>
            <w:vAlign w:val="bottom"/>
            <w:textDirection w:val="lrTb"/>
            <w:noWrap w:val="false"/>
          </w:tcPr>
          <w:p>
            <w:pPr>
              <w:pStyle w:val="658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shd w:val="clear" w:color="auto" w:fill="auto"/>
                <w:lang w:eastAsia="ru-RU"/>
              </w:rPr>
              <w:t xml:space="preserve">26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shd w:val="clear" w:color="auto" w:fill="auto"/>
            <w:tcW w:w="5670" w:type="dxa"/>
            <w:vAlign w:val="bottom"/>
            <w:textDirection w:val="lrTb"/>
            <w:noWrap w:val="false"/>
          </w:tcPr>
          <w:p>
            <w:pPr>
              <w:pStyle w:val="658"/>
              <w:jc w:val="right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auto"/>
                <w:lang w:eastAsia="ru-RU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884" w:type="dxa"/>
            <w:vAlign w:val="bottom"/>
            <w:textDirection w:val="lrTb"/>
            <w:noWrap w:val="false"/>
          </w:tcPr>
          <w:p>
            <w:pPr>
              <w:pStyle w:val="658"/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  <w:lang w:eastAsia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  <w:lang w:eastAsia="ru-RU"/>
              </w:rPr>
            </w:r>
          </w:p>
        </w:tc>
      </w:tr>
    </w:tbl>
    <w:p>
      <w:pPr>
        <w:pStyle w:val="663"/>
        <w:numPr>
          <w:ilvl w:val="0"/>
          <w:numId w:val="0"/>
        </w:numPr>
        <w:ind w:left="0" w:firstLine="0"/>
        <w:jc w:val="left"/>
        <w:tabs>
          <w:tab w:val="left" w:pos="-24208" w:leader="none"/>
          <w:tab w:val="clear" w:pos="708" w:leader="none"/>
        </w:tabs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val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val="ru-RU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val="ru-RU"/>
        </w:rPr>
        <w:t xml:space="preserve">О назначении публичных слушаний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по проектам постановлений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Администрации города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разрешений на условно разрешенн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ый вид использования земельных участков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 w:bidi="ar-SA"/>
        </w:rPr>
        <w:t xml:space="preserve">или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имеющих местоположение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 городе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Костроме: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поселок Васильевское,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д. 17,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44:27:070601:1902, проезд Апраксинский, земельный участок 39а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с кадастровым номером 44:27:030101:4157,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разрешений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земельных участках,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имеющих местоположение в городе Костроме: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проспект Речной, д. 64/1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44:27:020312:1,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Васильевская, д. 18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44:27:040736:12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/>
      <w:r/>
    </w:p>
    <w:p>
      <w:pPr>
        <w:pStyle w:val="658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Рассмотрев обращение главы Администрации города Костромы «О назначении публичных слушаний», в целя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х со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со статьями 5.1, 39, 40                 Градостроительного кодекса Росси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йской Федерации, Федеральным законом                    от 6 октября 2003 года № 131-ФЗ «Об общих принципах организации местного             самоуправления в Российской Федерации», Порядком организации и проведения          публичных слушаний, общественных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обсуждений по проектам муниципальных               правовых актов города Костромы в сфере градостроительной деятельности,                   Правилами землепользования и застройки города Костромы, руководствуясь статьями 20, 37 и 56 Устава города Костромы,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ПОСТАНОВЛЯЮ: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 Назначить публичные слушания по проектам постановлений Администрации города Костромы: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1)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на ус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ловно разрешенный вид использования земельного участка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объекта капитального строительства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44:27:070601:1902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расположенного в з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оне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застройки малоэтажными жилыми домами (до 4 этажей, включая мансардный) Ж-2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             город Кострома,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поселок Васильевское,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д. 17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2)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на ус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ловно разрешенный вид использования земельного участка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объекта капитального строительства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44:27:030101:4157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расположенн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ого в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промышленной и коммунально-складской зоне размещения объектов V класса опасности П-4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по адресу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: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Российская Федерация, Костромская область, городской округ город Кострома, город Костр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ома,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проезд Апраксинский, земельный участок 39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 </w:t>
        <w:tab/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ab/>
        <w:tab/>
        <w:tab/>
        <w:tab/>
        <w:tab/>
        <w:tab/>
        <w:tab/>
        <w:tab/>
        <w:t xml:space="preserve">                  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ab/>
        <w:t xml:space="preserve">3)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44:27:020312:1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расположенном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з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оне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застройки малоэтажными жилыми домами (до 4 этажей, включая мансардный) Ж-2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имеющем местоположение: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Костромская область, город Кострома,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проспект Речной, д. 64/1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44:27:040736:12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расположенном в зо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не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застройки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индивидуальными жилыми домами Ж-1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имеющем местоположение: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Костромская область, город Кострома,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улица Васильевская, д. 18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форме собрания участников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публичных слушаний по проекту муниципального правового акта в Администрации города Костромы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.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2. Определить организатором публичных слушаний по проектам постановлений Администрации города Костромы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 предоставлен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ии разрешений на условно разрешенн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ый вид использования земельных участков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ru-RU" w:bidi="ar-SA"/>
        </w:rPr>
        <w:t xml:space="preserve">или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имеющих местоположение в городе Костроме: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поселок Васильевское,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д. 17, с кадастровым номером 44:27:070601:1902, проезд Апраксинский, земельный участок 39а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с кадастровым номером 44:27:030101:4157,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разрешений на отклонение от предельных параметров разрешенного строительства, реконструкции объектов капитального строительства на земельных участках,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имеющих местоположение в городе Костроме: проспект Речной, д. 64/1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44:27:020312:1,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Васильевская, д. 18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44:27:040736:12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– Комиссию по подготовке проекта Правил землепользования и застройки                        города Костромы.                                                                                            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3. Назначить проведение собрания участ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ников публичных слушаний                           на 26 ноября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2024 год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 в период с 15-00 до 15-50 часов по адресу:                              Российская Федерация, Костромская область, городской округ город Кострома,                 город Кострома, площадь Конституции, 2, 3 этаж, ка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бинет 306 (кабинет главного архитектора).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4. Утвердить прилагаемые: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повестку собрания участников публичных слушаний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по проектам постановлений Администрации города Костромы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разрешений на условно разрешенн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ый вид использования земельных участков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ru-RU" w:bidi="ar-SA"/>
        </w:rPr>
        <w:t xml:space="preserve">или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имеющих местоположение в городе Костроме: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поселок Васильевское,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д. 17, с кадастровым номером 44:27:070601:1902, проезд Апраксинский, земельный участок 39а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с кадастровым номером 44:27:030101:4157,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разрешений на отклонение от предельных параметров разрешенного строительства, реконструкции объектов капитального строительства на земельных участках,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имеющих местоположение в городе Костроме: проспект Речной, д. 64/1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44:27:020312:1,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Васильевская, д. 18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44:27:040736:12</w:t>
      </w:r>
      <w:r/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(приложение 1);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2)  оповещение о начале публичных слушаний (приложени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 2).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5. Опубликовать настоящее постановление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8 ноября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2024 года в порядке, установленном для официального опубликования муниципальных правовых актов города Костромы, иной официальной информации, и разместить на официальном сайте Думы города Костромы в информационно-телекоммуникационной сети «Интернет».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6. С 18 ноября 2024 года разместить на официальном сайте Администрации  города Костромы в информационно-телекоммуникационной сети «Интернет» прилагаемые: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проект постановления Администрации города Костромы «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 предоставлении разрешения на условно разрешенный вид использования земельного участка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объекта капитального строительства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44:27:070601:1902</w:t>
      </w:r>
      <w:r/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          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поселок Васильевское,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д. 17</w:t>
      </w:r>
      <w:r/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</w:t>
      </w:r>
      <w:r/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(прилож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ение 3);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проект постановления Администрации города Костромы «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 предоставлении разрешения на условно разрешенный вид использования земельного участка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объекта капитального строительства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ером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44:27:030101:4157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расположенного по адресу: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Российская Федерация, Костромская область, городской округ город Кострома, город Кострома,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проезд Апраксинский, земельный участок 39</w:t>
      </w:r>
      <w:r/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/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(приложение 4);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3)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проект постановления Администрации города Костромы «О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предоставлении разрешения на отклонение от пред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ельных параметров разрешенного строительства, реконструкции объектов капитального стр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оительства на земельном участке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   с кадастровым номером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44:27:020312:1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м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местоположение: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проспект Речной, д. 64/1</w:t>
      </w:r>
      <w:r/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/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(приложение 5);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проект постановления Администрации города Костромы «О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предоставлении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разрешения на отклонение от пред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ельных параметров разрешенного строительства, реконструкции объектов капиталь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ного стр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оительства на земельном участке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             с кадастровым номером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44:27:040736:12</w:t>
      </w:r>
      <w:r/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м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местоположение: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Васильевская, д. </w:t>
      </w:r>
      <w:r/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18</w:t>
      </w:r>
      <w:r/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(приложение 6).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7. Не позднее 18 ноября 2024 года разместить и до 26 ноября 2024 года распространять оповещение о начале публичных слушаний на информационных стендах, находящихся в муниципальной собственности.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8. Настоящее постановление вступает в силу со дня его подписания и подлежит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официальному опубликованию.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ind w:left="0" w:right="0" w:firstLine="0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Глава города Костромы Ю. В. Журин</w:t>
        <w:br/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ind w:left="0" w:right="0" w:firstLine="0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"___" _________ 2024 года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sectPr>
      <w:footnotePr/>
      <w:endnotePr/>
      <w:type w:val="nextPage"/>
      <w:pgSz w:w="11906" w:h="16838" w:orient="portrait"/>
      <w:pgMar w:top="725" w:right="506" w:bottom="522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Mangal">
    <w:panose1 w:val="02040503050203030202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Segoe UI">
    <w:panose1 w:val="020B0502040204020203"/>
  </w:font>
  <w:font w:name="DejaVu Sans">
    <w:panose1 w:val="020B06030308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pStyle w:val="663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 w:default="1">
    <w:name w:val="Normal"/>
    <w:qFormat/>
    <w:pPr>
      <w:jc w:val="left"/>
      <w:spacing w:before="0" w:after="0" w:line="240" w:lineRule="auto"/>
      <w:widowControl w:val="off"/>
    </w:pPr>
    <w:rPr>
      <w:rFonts w:ascii="Arial" w:hAnsi="Arial" w:eastAsia="Times New Roman" w:cs="DejaVu Sans" w:cstheme="minorBidi"/>
      <w:color w:val="auto"/>
      <w:sz w:val="18"/>
      <w:szCs w:val="18"/>
      <w:lang w:val="ru-RU" w:eastAsia="ar-SA" w:bidi="ar-SA"/>
    </w:rPr>
  </w:style>
  <w:style w:type="paragraph" w:styleId="659">
    <w:name w:val="Heading 1"/>
    <w:basedOn w:val="6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1">
    <w:name w:val="Heading 3"/>
    <w:basedOn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6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658"/>
    <w:qFormat/>
    <w:pPr>
      <w:numPr>
        <w:ilvl w:val="4"/>
        <w:numId w:val="1"/>
      </w:numPr>
      <w:ind w:left="0" w:firstLine="0"/>
      <w:jc w:val="center"/>
      <w:keepNext/>
      <w:outlineLvl w:val="4"/>
    </w:pPr>
    <w:rPr>
      <w:b/>
      <w:sz w:val="32"/>
      <w:lang w:val="en-US"/>
    </w:rPr>
  </w:style>
  <w:style w:type="paragraph" w:styleId="664">
    <w:name w:val="Heading 6"/>
    <w:basedOn w:val="6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6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6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1 Char"/>
    <w:basedOn w:val="690"/>
    <w:uiPriority w:val="9"/>
    <w:qFormat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0"/>
    <w:uiPriority w:val="9"/>
    <w:qFormat/>
    <w:rPr>
      <w:rFonts w:ascii="Arial" w:hAnsi="Arial" w:eastAsia="Arial" w:cs="Arial"/>
      <w:sz w:val="34"/>
    </w:rPr>
  </w:style>
  <w:style w:type="character" w:styleId="670">
    <w:name w:val="Heading 3 Char"/>
    <w:basedOn w:val="690"/>
    <w:uiPriority w:val="9"/>
    <w:qFormat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0"/>
    <w:uiPriority w:val="10"/>
    <w:qFormat/>
    <w:rPr>
      <w:sz w:val="48"/>
      <w:szCs w:val="48"/>
    </w:rPr>
  </w:style>
  <w:style w:type="character" w:styleId="678">
    <w:name w:val="Subtitle Char"/>
    <w:basedOn w:val="690"/>
    <w:uiPriority w:val="11"/>
    <w:qFormat/>
    <w:rPr>
      <w:sz w:val="24"/>
      <w:szCs w:val="24"/>
    </w:rPr>
  </w:style>
  <w:style w:type="character" w:styleId="679">
    <w:name w:val="Quote Char"/>
    <w:uiPriority w:val="29"/>
    <w:qFormat/>
    <w:rPr>
      <w:i/>
    </w:rPr>
  </w:style>
  <w:style w:type="character" w:styleId="680">
    <w:name w:val="Intense Quote Char"/>
    <w:uiPriority w:val="30"/>
    <w:qFormat/>
    <w:rPr>
      <w:i/>
    </w:rPr>
  </w:style>
  <w:style w:type="character" w:styleId="681">
    <w:name w:val="Header Char"/>
    <w:basedOn w:val="690"/>
    <w:uiPriority w:val="99"/>
    <w:qFormat/>
  </w:style>
  <w:style w:type="character" w:styleId="682">
    <w:name w:val="Footer Char"/>
    <w:basedOn w:val="690"/>
    <w:uiPriority w:val="99"/>
    <w:qFormat/>
  </w:style>
  <w:style w:type="character" w:styleId="683">
    <w:name w:val="Caption Char"/>
    <w:uiPriority w:val="99"/>
    <w:qFormat/>
  </w:style>
  <w:style w:type="character" w:styleId="684">
    <w:name w:val="Footnote Text Char"/>
    <w:uiPriority w:val="99"/>
    <w:qFormat/>
    <w:rPr>
      <w:sz w:val="18"/>
    </w:rPr>
  </w:style>
  <w:style w:type="character" w:styleId="685">
    <w:name w:val="Символ сноски"/>
    <w:uiPriority w:val="99"/>
    <w:unhideWhenUsed/>
    <w:qFormat/>
    <w:rPr>
      <w:vertAlign w:val="superscript"/>
    </w:rPr>
  </w:style>
  <w:style w:type="character" w:styleId="686">
    <w:name w:val="footnote reference"/>
    <w:rPr>
      <w:vertAlign w:val="superscript"/>
    </w:rPr>
  </w:style>
  <w:style w:type="character" w:styleId="687">
    <w:name w:val="Endnote Text Char"/>
    <w:uiPriority w:val="99"/>
    <w:qFormat/>
    <w:rPr>
      <w:sz w:val="20"/>
    </w:rPr>
  </w:style>
  <w:style w:type="character" w:styleId="68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89">
    <w:name w:val="endnote reference"/>
    <w:rPr>
      <w:vertAlign w:val="superscript"/>
    </w:rPr>
  </w:style>
  <w:style w:type="character" w:styleId="690" w:default="1">
    <w:name w:val="Default Paragraph Font"/>
    <w:uiPriority w:val="1"/>
    <w:semiHidden/>
    <w:unhideWhenUsed/>
    <w:qFormat/>
  </w:style>
  <w:style w:type="character" w:styleId="691" w:customStyle="1">
    <w:name w:val="Заголовок 5 Знак"/>
    <w:basedOn w:val="690"/>
    <w:qFormat/>
    <w:rPr>
      <w:rFonts w:ascii="Arial" w:hAnsi="Arial" w:eastAsia="Times New Roman" w:cs="Arial"/>
      <w:b/>
      <w:sz w:val="32"/>
      <w:szCs w:val="18"/>
      <w:lang w:val="en-US" w:eastAsia="ar-SA"/>
    </w:rPr>
  </w:style>
  <w:style w:type="character" w:styleId="692" w:customStyle="1">
    <w:name w:val="Верхний колонтитул Знак"/>
    <w:basedOn w:val="690"/>
    <w:semiHidden/>
    <w:qFormat/>
    <w:rPr>
      <w:rFonts w:ascii="Arial" w:hAnsi="Arial" w:eastAsia="Times New Roman" w:cs="Arial"/>
      <w:sz w:val="18"/>
      <w:szCs w:val="18"/>
      <w:lang w:eastAsia="ar-SA"/>
    </w:rPr>
  </w:style>
  <w:style w:type="character" w:styleId="693" w:customStyle="1">
    <w:name w:val="Текст выноски Знак"/>
    <w:basedOn w:val="690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694">
    <w:name w:val="Hyperlink"/>
    <w:basedOn w:val="690"/>
    <w:uiPriority w:val="99"/>
    <w:unhideWhenUsed/>
    <w:rPr>
      <w:color w:val="0563c1" w:themeColor="hyperlink"/>
      <w:u w:val="single"/>
    </w:rPr>
  </w:style>
  <w:style w:type="character" w:styleId="695" w:customStyle="1">
    <w:name w:val="Нижний колонтитул Знак"/>
    <w:basedOn w:val="690"/>
    <w:uiPriority w:val="99"/>
    <w:qFormat/>
    <w:rPr>
      <w:rFonts w:ascii="Arial" w:hAnsi="Arial" w:eastAsia="Times New Roman" w:cs="Arial"/>
      <w:sz w:val="18"/>
      <w:szCs w:val="18"/>
      <w:lang w:eastAsia="ar-SA"/>
    </w:rPr>
  </w:style>
  <w:style w:type="character" w:styleId="696">
    <w:name w:val="Основной шрифт абзаца1"/>
    <w:qFormat/>
  </w:style>
  <w:style w:type="character" w:styleId="697">
    <w:name w:val="Основной шрифт абзаца"/>
    <w:qFormat/>
  </w:style>
  <w:style w:type="paragraph" w:styleId="698">
    <w:name w:val="Заголовок"/>
    <w:basedOn w:val="658"/>
    <w:next w:val="69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99">
    <w:name w:val="Body Text"/>
    <w:basedOn w:val="658"/>
    <w:pPr>
      <w:spacing w:before="0" w:after="140" w:line="276" w:lineRule="auto"/>
    </w:pPr>
  </w:style>
  <w:style w:type="paragraph" w:styleId="700">
    <w:name w:val="List"/>
    <w:basedOn w:val="699"/>
    <w:rPr>
      <w:rFonts w:cs="Mangal"/>
    </w:rPr>
  </w:style>
  <w:style w:type="paragraph" w:styleId="701">
    <w:name w:val="Caption"/>
    <w:basedOn w:val="658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02">
    <w:name w:val="Указатель"/>
    <w:basedOn w:val="658"/>
    <w:qFormat/>
    <w:pPr>
      <w:suppressLineNumbers/>
    </w:pPr>
    <w:rPr>
      <w:rFonts w:cs="Mangal"/>
    </w:rPr>
  </w:style>
  <w:style w:type="paragraph" w:styleId="703">
    <w:name w:val="No Spacing"/>
    <w:uiPriority w:val="1"/>
    <w:qFormat/>
    <w:pPr>
      <w:jc w:val="left"/>
      <w:spacing w:before="0" w:after="0" w:line="240" w:lineRule="auto"/>
      <w:widowControl/>
    </w:pPr>
    <w:rPr>
      <w:rFonts w:ascii="Arial" w:hAnsi="Arial" w:eastAsia="Arial" w:cs="DejaVu Sans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04">
    <w:name w:val="Title"/>
    <w:basedOn w:val="65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05">
    <w:name w:val="Subtitle"/>
    <w:basedOn w:val="658"/>
    <w:uiPriority w:val="11"/>
    <w:qFormat/>
    <w:pPr>
      <w:spacing w:before="200" w:after="200"/>
    </w:pPr>
    <w:rPr>
      <w:sz w:val="24"/>
      <w:szCs w:val="24"/>
    </w:rPr>
  </w:style>
  <w:style w:type="paragraph" w:styleId="706">
    <w:name w:val="Quote"/>
    <w:basedOn w:val="658"/>
    <w:uiPriority w:val="29"/>
    <w:qFormat/>
    <w:pPr>
      <w:ind w:left="720" w:right="720" w:firstLine="0"/>
    </w:pPr>
    <w:rPr>
      <w:i/>
    </w:rPr>
  </w:style>
  <w:style w:type="paragraph" w:styleId="707">
    <w:name w:val="Intense Quote"/>
    <w:basedOn w:val="658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8">
    <w:name w:val="footnote text"/>
    <w:basedOn w:val="65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09">
    <w:name w:val="endnote text"/>
    <w:basedOn w:val="658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10">
    <w:name w:val="toc 1"/>
    <w:basedOn w:val="658"/>
    <w:uiPriority w:val="39"/>
    <w:unhideWhenUsed/>
    <w:pPr>
      <w:ind w:left="0" w:right="0" w:firstLine="0"/>
      <w:spacing w:before="0" w:after="57"/>
    </w:pPr>
  </w:style>
  <w:style w:type="paragraph" w:styleId="711">
    <w:name w:val="toc 2"/>
    <w:basedOn w:val="658"/>
    <w:uiPriority w:val="39"/>
    <w:unhideWhenUsed/>
    <w:pPr>
      <w:ind w:left="283" w:right="0" w:firstLine="0"/>
      <w:spacing w:before="0" w:after="57"/>
    </w:pPr>
  </w:style>
  <w:style w:type="paragraph" w:styleId="712">
    <w:name w:val="toc 3"/>
    <w:basedOn w:val="658"/>
    <w:uiPriority w:val="39"/>
    <w:unhideWhenUsed/>
    <w:pPr>
      <w:ind w:left="567" w:right="0" w:firstLine="0"/>
      <w:spacing w:before="0" w:after="57"/>
    </w:pPr>
  </w:style>
  <w:style w:type="paragraph" w:styleId="713">
    <w:name w:val="toc 4"/>
    <w:basedOn w:val="658"/>
    <w:uiPriority w:val="39"/>
    <w:unhideWhenUsed/>
    <w:pPr>
      <w:ind w:left="850" w:right="0" w:firstLine="0"/>
      <w:spacing w:before="0" w:after="57"/>
    </w:pPr>
  </w:style>
  <w:style w:type="paragraph" w:styleId="714">
    <w:name w:val="toc 5"/>
    <w:basedOn w:val="658"/>
    <w:uiPriority w:val="39"/>
    <w:unhideWhenUsed/>
    <w:pPr>
      <w:ind w:left="1134" w:right="0" w:firstLine="0"/>
      <w:spacing w:before="0" w:after="57"/>
    </w:pPr>
  </w:style>
  <w:style w:type="paragraph" w:styleId="715">
    <w:name w:val="toc 6"/>
    <w:basedOn w:val="658"/>
    <w:uiPriority w:val="39"/>
    <w:unhideWhenUsed/>
    <w:pPr>
      <w:ind w:left="1417" w:right="0" w:firstLine="0"/>
      <w:spacing w:before="0" w:after="57"/>
    </w:pPr>
  </w:style>
  <w:style w:type="paragraph" w:styleId="716">
    <w:name w:val="toc 7"/>
    <w:basedOn w:val="658"/>
    <w:uiPriority w:val="39"/>
    <w:unhideWhenUsed/>
    <w:pPr>
      <w:ind w:left="1701" w:right="0" w:firstLine="0"/>
      <w:spacing w:before="0" w:after="57"/>
    </w:pPr>
  </w:style>
  <w:style w:type="paragraph" w:styleId="717">
    <w:name w:val="toc 8"/>
    <w:basedOn w:val="658"/>
    <w:uiPriority w:val="39"/>
    <w:unhideWhenUsed/>
    <w:pPr>
      <w:ind w:left="1984" w:right="0" w:firstLine="0"/>
      <w:spacing w:before="0" w:after="57"/>
    </w:pPr>
  </w:style>
  <w:style w:type="paragraph" w:styleId="718">
    <w:name w:val="toc 9"/>
    <w:basedOn w:val="658"/>
    <w:uiPriority w:val="39"/>
    <w:unhideWhenUsed/>
    <w:pPr>
      <w:ind w:left="2268" w:right="0" w:firstLine="0"/>
      <w:spacing w:before="0" w:after="57"/>
    </w:pPr>
  </w:style>
  <w:style w:type="paragraph" w:styleId="719">
    <w:name w:val="Index Heading"/>
    <w:basedOn w:val="698"/>
  </w:style>
  <w:style w:type="paragraph" w:styleId="720">
    <w:name w:val="TOC Heading"/>
    <w:uiPriority w:val="39"/>
    <w:unhideWhenUsed/>
    <w:qFormat/>
    <w:pPr>
      <w:jc w:val="left"/>
      <w:spacing w:before="0" w:after="0"/>
      <w:widowControl/>
    </w:pPr>
    <w:rPr>
      <w:rFonts w:ascii="Arial" w:hAnsi="Arial" w:eastAsia="Arial" w:cs="DejaVu Sans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21">
    <w:name w:val="table of figures"/>
    <w:basedOn w:val="658"/>
    <w:uiPriority w:val="99"/>
    <w:unhideWhenUsed/>
    <w:qFormat/>
    <w:pPr>
      <w:spacing w:before="0" w:after="0" w:afterAutospacing="0"/>
    </w:pPr>
  </w:style>
  <w:style w:type="paragraph" w:styleId="722">
    <w:name w:val="Колонтитул"/>
    <w:basedOn w:val="658"/>
    <w:qFormat/>
  </w:style>
  <w:style w:type="paragraph" w:styleId="723">
    <w:name w:val="Header"/>
    <w:basedOn w:val="658"/>
    <w:semiHidden/>
  </w:style>
  <w:style w:type="paragraph" w:styleId="724" w:customStyle="1">
    <w:name w:val="Стопслово"/>
    <w:basedOn w:val="658"/>
    <w:qFormat/>
    <w:pPr>
      <w:ind w:firstLine="709"/>
      <w:spacing w:before="240" w:after="240"/>
      <w:widowControl/>
    </w:pPr>
    <w:rPr>
      <w:rFonts w:ascii="Times New Roman" w:hAnsi="Times New Roman" w:cs="Times New Roman"/>
      <w:spacing w:val="60"/>
      <w:sz w:val="26"/>
      <w:szCs w:val="26"/>
      <w:lang w:eastAsia="ru-RU"/>
    </w:rPr>
  </w:style>
  <w:style w:type="paragraph" w:styleId="725" w:customStyle="1">
    <w:name w:val="Подпись_гл"/>
    <w:basedOn w:val="658"/>
    <w:qFormat/>
    <w:pPr>
      <w:jc w:val="both"/>
      <w:spacing w:before="920" w:after="0"/>
      <w:widowControl/>
      <w:tabs>
        <w:tab w:val="clear" w:pos="708" w:leader="none"/>
        <w:tab w:val="left" w:pos="7371" w:leader="none"/>
      </w:tabs>
    </w:pPr>
    <w:rPr>
      <w:rFonts w:ascii="Times New Roman" w:hAnsi="Times New Roman" w:cs="Times New Roman"/>
      <w:sz w:val="26"/>
      <w:szCs w:val="24"/>
      <w:lang w:eastAsia="ru-RU"/>
    </w:rPr>
  </w:style>
  <w:style w:type="paragraph" w:styleId="726" w:customStyle="1">
    <w:name w:val="Решение"/>
    <w:basedOn w:val="658"/>
    <w:qFormat/>
    <w:pPr>
      <w:ind w:firstLine="709"/>
      <w:jc w:val="both"/>
      <w:widowControl/>
    </w:pPr>
    <w:rPr>
      <w:rFonts w:ascii="Times New Roman" w:hAnsi="Times New Roman" w:cs="Times New Roman"/>
      <w:sz w:val="26"/>
      <w:szCs w:val="26"/>
      <w:lang w:eastAsia="ru-RU"/>
    </w:rPr>
  </w:style>
  <w:style w:type="paragraph" w:styleId="727">
    <w:name w:val="Balloon Text"/>
    <w:basedOn w:val="658"/>
    <w:uiPriority w:val="99"/>
    <w:semiHidden/>
    <w:unhideWhenUsed/>
    <w:qFormat/>
    <w:rPr>
      <w:rFonts w:ascii="Segoe UI" w:hAnsi="Segoe UI" w:cs="Segoe UI"/>
    </w:rPr>
  </w:style>
  <w:style w:type="paragraph" w:styleId="728">
    <w:name w:val="List Paragraph"/>
    <w:basedOn w:val="658"/>
    <w:uiPriority w:val="34"/>
    <w:qFormat/>
    <w:pPr>
      <w:contextualSpacing/>
      <w:ind w:left="720" w:firstLine="0"/>
      <w:spacing w:before="0" w:after="0"/>
    </w:pPr>
  </w:style>
  <w:style w:type="paragraph" w:styleId="729">
    <w:name w:val="Footer"/>
    <w:basedOn w:val="658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30">
    <w:name w:val="Текст выноски"/>
    <w:basedOn w:val="658"/>
    <w:qFormat/>
    <w:rPr>
      <w:rFonts w:ascii="Tahoma" w:hAnsi="Tahoma" w:cs="Tahoma"/>
      <w:sz w:val="16"/>
      <w:szCs w:val="16"/>
    </w:rPr>
  </w:style>
  <w:style w:type="paragraph" w:styleId="731">
    <w:name w:val="Содержимое врезки"/>
    <w:basedOn w:val="699"/>
    <w:qFormat/>
  </w:style>
  <w:style w:type="paragraph" w:styleId="732">
    <w:name w:val="Содержимое таблицы"/>
    <w:basedOn w:val="658"/>
    <w:qFormat/>
    <w:pPr>
      <w:widowControl w:val="off"/>
      <w:suppressLineNumbers/>
    </w:pPr>
  </w:style>
  <w:style w:type="paragraph" w:styleId="733">
    <w:name w:val="Заголовок таблицы"/>
    <w:basedOn w:val="732"/>
    <w:qFormat/>
    <w:pPr>
      <w:jc w:val="center"/>
      <w:suppressLineNumbers/>
    </w:pPr>
    <w:rPr>
      <w:b/>
      <w:bCs/>
    </w:rPr>
  </w:style>
  <w:style w:type="paragraph" w:styleId="734">
    <w:name w:val="Указатель1"/>
    <w:basedOn w:val="658"/>
    <w:qFormat/>
    <w:pPr>
      <w:suppressLineNumbers/>
    </w:pPr>
    <w:rPr>
      <w:rFonts w:ascii="Arial" w:hAnsi="Arial" w:cs="Tahoma"/>
    </w:rPr>
  </w:style>
  <w:style w:type="paragraph" w:styleId="735">
    <w:name w:val="Название1"/>
    <w:basedOn w:val="658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numbering" w:styleId="736" w:default="1">
    <w:name w:val="No List"/>
    <w:uiPriority w:val="99"/>
    <w:semiHidden/>
    <w:unhideWhenUsed/>
    <w:qFormat/>
  </w:style>
  <w:style w:type="table" w:styleId="737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0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1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c3fdba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c3fdba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c3fdba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c3fdba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c5fdbc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c5fdbc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1ebe03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36b8fb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68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43c03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69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c33fa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70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1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2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79fb64" w:themeFill="accent1" w:themeFillTint="75"/>
      </w:tcPr>
    </w:tblStylePr>
    <w:tblStylePr w:type="band1Vert">
      <w:tcPr>
        <w:shd w:val="clear" w:color="ffffff" w:fill="79fb64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18a303" w:themeFill="accent1"/>
      </w:tcPr>
    </w:tblStylePr>
    <w:tblStylePr w:type="firstRow">
      <w:rPr>
        <w:b/>
        <w:color w:val="ffffff"/>
        <w:sz w:val="22"/>
      </w:rPr>
      <w:tcPr>
        <w:shd w:val="clear" w:color="ffffff" w:fill="18a303" w:themeFill="accent1"/>
      </w:tcPr>
    </w:tblStylePr>
    <w:tblStylePr w:type="lastCol">
      <w:rPr>
        <w:b/>
        <w:color w:val="ffffff"/>
        <w:sz w:val="22"/>
      </w:rPr>
      <w:tcPr>
        <w:shd w:val="clear" w:color="ffffff" w:fill="18a303" w:themeFill="accent1"/>
      </w:tcPr>
    </w:tblStylePr>
    <w:tblStylePr w:type="lastRow">
      <w:rPr>
        <w:b/>
        <w:color w:val="ffffff"/>
        <w:sz w:val="22"/>
      </w:rPr>
      <w:tcPr>
        <w:shd w:val="clear" w:color="ffffff" w:fill="18a303" w:themeFill="accent1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64c8fb" w:themeFill="accent2" w:themeFillTint="75"/>
      </w:tcPr>
    </w:tblStylePr>
    <w:tblStylePr w:type="band1Vert">
      <w:tcPr>
        <w:shd w:val="clear" w:color="ffffff" w:fill="64c8fb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0369a3" w:themeFill="accent2"/>
      </w:tcPr>
    </w:tblStylePr>
    <w:tblStylePr w:type="firstRow">
      <w:rPr>
        <w:b/>
        <w:color w:val="ffffff"/>
        <w:sz w:val="22"/>
      </w:rPr>
      <w:tcPr>
        <w:shd w:val="clear" w:color="ffffff" w:fill="0369a3" w:themeFill="accent2"/>
      </w:tcPr>
    </w:tblStylePr>
    <w:tblStylePr w:type="lastCol">
      <w:rPr>
        <w:b/>
        <w:color w:val="ffffff"/>
        <w:sz w:val="22"/>
      </w:rPr>
      <w:tcPr>
        <w:shd w:val="clear" w:color="ffffff" w:fill="0369a3" w:themeFill="accent2"/>
      </w:tcPr>
    </w:tblStylePr>
    <w:tblStylePr w:type="lastRow">
      <w:rPr>
        <w:b/>
        <w:color w:val="ffffff"/>
        <w:sz w:val="22"/>
      </w:rPr>
      <w:tcPr>
        <w:shd w:val="clear" w:color="ffffff" w:fill="0369a3" w:themeFill="accent2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9964" w:themeFill="accent3" w:themeFillTint="75"/>
      </w:tcPr>
    </w:tblStylePr>
    <w:tblStylePr w:type="band1Vert">
      <w:tcPr>
        <w:shd w:val="clear" w:color="ffffff" w:fill="fb9964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33e03" w:themeFill="accent3"/>
      </w:tcPr>
    </w:tblStylePr>
    <w:tblStylePr w:type="firstRow">
      <w:rPr>
        <w:b/>
        <w:color w:val="ffffff"/>
        <w:sz w:val="22"/>
      </w:rPr>
      <w:tcPr>
        <w:shd w:val="clear" w:color="ffffff" w:fill="a33e03" w:themeFill="accent3"/>
      </w:tcPr>
    </w:tblStylePr>
    <w:tblStylePr w:type="lastCol">
      <w:rPr>
        <w:b/>
        <w:color w:val="ffffff"/>
        <w:sz w:val="22"/>
      </w:rPr>
      <w:tcPr>
        <w:shd w:val="clear" w:color="ffffff" w:fill="a33e03" w:themeFill="accent3"/>
      </w:tcPr>
    </w:tblStylePr>
    <w:tblStylePr w:type="lastRow">
      <w:rPr>
        <w:b/>
        <w:color w:val="ffffff"/>
        <w:sz w:val="22"/>
      </w:rPr>
      <w:tcPr>
        <w:shd w:val="clear" w:color="ffffff" w:fill="a33e03" w:themeFill="accent3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464fb" w:themeFill="accent4" w:themeFillTint="75"/>
      </w:tcPr>
    </w:tblStylePr>
    <w:tblStylePr w:type="band1Vert">
      <w:tcPr>
        <w:shd w:val="clear" w:color="ffffff" w:fill="e464fb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e03a3" w:themeFill="accent4"/>
      </w:tcPr>
    </w:tblStylePr>
    <w:tblStylePr w:type="firstRow">
      <w:rPr>
        <w:b/>
        <w:color w:val="ffffff"/>
        <w:sz w:val="22"/>
      </w:rPr>
      <w:tcPr>
        <w:shd w:val="clear" w:color="ffffff" w:fill="8e03a3" w:themeFill="accent4"/>
      </w:tcPr>
    </w:tblStylePr>
    <w:tblStylePr w:type="lastCol">
      <w:rPr>
        <w:b/>
        <w:color w:val="ffffff"/>
        <w:sz w:val="22"/>
      </w:rPr>
      <w:tcPr>
        <w:shd w:val="clear" w:color="ffffff" w:fill="8e03a3" w:themeFill="accent4"/>
      </w:tcPr>
    </w:tblStylePr>
    <w:tblStylePr w:type="lastRow">
      <w:rPr>
        <w:b/>
        <w:color w:val="ffffff"/>
        <w:sz w:val="22"/>
      </w:rPr>
      <w:tcPr>
        <w:shd w:val="clear" w:color="ffffff" w:fill="8e03a3" w:themeFill="accent4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db71" w:themeFill="accent5" w:themeFillTint="75"/>
      </w:tcPr>
    </w:tblStylePr>
    <w:tblStylePr w:type="band1Vert">
      <w:tcPr>
        <w:shd w:val="clear" w:color="ffffff" w:fill="ffdb71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c99c00" w:themeFill="accent5"/>
      </w:tcPr>
    </w:tblStylePr>
    <w:tblStylePr w:type="firstRow">
      <w:rPr>
        <w:b/>
        <w:color w:val="ffffff"/>
        <w:sz w:val="22"/>
      </w:rPr>
      <w:tcPr>
        <w:shd w:val="clear" w:color="ffffff" w:fill="c99c00" w:themeFill="accent5"/>
      </w:tcPr>
    </w:tblStylePr>
    <w:tblStylePr w:type="lastCol">
      <w:rPr>
        <w:b/>
        <w:color w:val="ffffff"/>
        <w:sz w:val="22"/>
      </w:rPr>
      <w:tcPr>
        <w:shd w:val="clear" w:color="ffffff" w:fill="c99c00" w:themeFill="accent5"/>
      </w:tcPr>
    </w:tblStylePr>
    <w:tblStylePr w:type="lastRow">
      <w:rPr>
        <w:b/>
        <w:color w:val="ffffff"/>
        <w:sz w:val="22"/>
      </w:rPr>
      <w:tcPr>
        <w:shd w:val="clear" w:color="ffffff" w:fill="c99c00" w:themeFill="accent5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e8f8f" w:themeFill="accent6" w:themeFillTint="75"/>
      </w:tcPr>
    </w:tblStylePr>
    <w:tblStylePr w:type="band1Vert">
      <w:tcPr>
        <w:shd w:val="clear" w:color="ffffff" w:fill="ee8f8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c9211e" w:themeFill="accent6"/>
      </w:tcPr>
    </w:tblStylePr>
    <w:tblStylePr w:type="firstRow">
      <w:rPr>
        <w:b/>
        <w:color w:val="ffffff"/>
        <w:sz w:val="22"/>
      </w:rPr>
      <w:tcPr>
        <w:shd w:val="clear" w:color="ffffff" w:fill="c9211e" w:themeFill="accent6"/>
      </w:tcPr>
    </w:tblStylePr>
    <w:tblStylePr w:type="lastCol">
      <w:rPr>
        <w:b/>
        <w:color w:val="ffffff"/>
        <w:sz w:val="22"/>
      </w:rPr>
      <w:tcPr>
        <w:shd w:val="clear" w:color="ffffff" w:fill="c9211e" w:themeFill="accent6"/>
      </w:tcPr>
    </w:tblStylePr>
    <w:tblStylePr w:type="lastRow">
      <w:rPr>
        <w:b/>
        <w:color w:val="ffffff"/>
        <w:sz w:val="22"/>
      </w:rPr>
      <w:tcPr>
        <w:shd w:val="clear" w:color="ffffff" w:fill="c9211e" w:themeFill="accent6"/>
        <w:tcBorders>
          <w:top w:val="single" w:color="000000" w:themeColor="light1" w:sz="4" w:space="0"/>
        </w:tcBorders>
      </w:tcPr>
    </w:tblStylePr>
  </w:style>
  <w:style w:type="table" w:styleId="779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c3fdba" w:themeFill="accent1" w:themeFillTint="34"/>
      </w:tcPr>
    </w:tblStylePr>
    <w:tblStylePr w:type="band1Vert">
      <w:tcPr>
        <w:shd w:val="clear" w:color="ffffff" w:fill="c3fdba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1ebf04" w:themeColor="accent1" w:themeTint="80" w:themeShade="95"/>
      </w:rPr>
    </w:tblStylePr>
    <w:tblStylePr w:type="firstRow">
      <w:rPr>
        <w:b/>
        <w:color w:val="1ebf04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1ebf04" w:themeColor="accent1" w:themeTint="80" w:themeShade="95"/>
      </w:rPr>
    </w:tblStylePr>
    <w:tblStylePr w:type="lastRow">
      <w:rPr>
        <w:b/>
        <w:color w:val="1ebf04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bce7fd" w:themeFill="accent2" w:themeFillTint="32"/>
      </w:tcPr>
    </w:tblStylePr>
    <w:tblStylePr w:type="band1Vert">
      <w:tcPr>
        <w:shd w:val="clear" w:color="ffffff" w:fill="bce7fd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dd2ba" w:themeFill="accent3" w:themeFillTint="34"/>
      </w:tcPr>
    </w:tblStylePr>
    <w:tblStylePr w:type="band1Vert">
      <w:tcPr>
        <w:shd w:val="clear" w:color="ffffff" w:fill="fdd2ba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e2201" w:themeColor="accent3" w:themeTint="FE" w:themeShade="95"/>
      </w:rPr>
    </w:tblStylePr>
    <w:tblStylePr w:type="firstRow">
      <w:rPr>
        <w:b/>
        <w:color w:val="5e2201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e2201" w:themeColor="accent3" w:themeTint="FE" w:themeShade="95"/>
      </w:rPr>
    </w:tblStylePr>
    <w:tblStylePr w:type="lastRow">
      <w:rPr>
        <w:b/>
        <w:color w:val="5e2201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3bafd" w:themeFill="accent4" w:themeFillTint="34"/>
      </w:tcPr>
    </w:tblStylePr>
    <w:tblStylePr w:type="band1Vert">
      <w:tcPr>
        <w:shd w:val="clear" w:color="ffffff" w:fill="f3bafd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8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efbf" w:themeFill="accent5" w:themeFillTint="34"/>
      </w:tcPr>
    </w:tblStylePr>
    <w:tblStylePr w:type="band1Vert">
      <w:tcPr>
        <w:shd w:val="clear" w:color="ffffff" w:fill="ffefb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8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7cccc" w:themeFill="accent6" w:themeFillTint="34"/>
      </w:tcPr>
    </w:tblStylePr>
    <w:tblStylePr w:type="band1Vert">
      <w:tcPr>
        <w:shd w:val="clear" w:color="ffffff" w:fill="f7cccc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86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1ebf04" w:themeColor="accent1" w:themeTint="80" w:themeShade="95"/>
        <w:sz w:val="22"/>
      </w:rPr>
      <w:tcPr>
        <w:shd w:val="clear" w:color="ffffff" w:fill="c3fdba" w:themeFill="accent1" w:themeFillTint="34"/>
      </w:tcPr>
    </w:tblStylePr>
    <w:tblStylePr w:type="band1Vert">
      <w:tcPr>
        <w:shd w:val="clear" w:color="ffffff" w:fill="c3fdba" w:themeFill="accent1" w:themeFillTint="34"/>
      </w:tcPr>
    </w:tblStylePr>
    <w:tblStylePr w:type="band2Horz">
      <w:rPr>
        <w:color w:val="1ebf04" w:themeColor="accent1" w:themeTint="80" w:themeShade="95"/>
        <w:sz w:val="22"/>
      </w:rPr>
    </w:tblStylePr>
    <w:tblStylePr w:type="firstCol">
      <w:rPr>
        <w:i/>
        <w:color w:val="1ebf04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1ebf04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1ebf04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1ebf04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0378ae" w:themeColor="accent2" w:themeTint="97" w:themeShade="95"/>
        <w:sz w:val="22"/>
      </w:rPr>
      <w:tcPr>
        <w:shd w:val="clear" w:color="ffffff" w:fill="bce7fd" w:themeFill="accent2" w:themeFillTint="32"/>
      </w:tcPr>
    </w:tblStylePr>
    <w:tblStylePr w:type="band1Vert">
      <w:tcPr>
        <w:shd w:val="clear" w:color="ffffff" w:fill="bce7fd" w:themeFill="accent2" w:themeFillTint="32"/>
      </w:tcPr>
    </w:tblStylePr>
    <w:tblStylePr w:type="band2Horz">
      <w:rPr>
        <w:color w:val="0378ae" w:themeColor="accent2" w:themeTint="97" w:themeShade="95"/>
        <w:sz w:val="22"/>
      </w:rPr>
    </w:tblStylePr>
    <w:tblStylePr w:type="firstCol">
      <w:rPr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0378ae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0378ae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e2201" w:themeColor="accent3" w:themeTint="FE" w:themeShade="95"/>
        <w:sz w:val="22"/>
      </w:rPr>
      <w:tcPr>
        <w:shd w:val="clear" w:color="ffffff" w:fill="fdd2ba" w:themeFill="accent3" w:themeFillTint="34"/>
      </w:tcPr>
    </w:tblStylePr>
    <w:tblStylePr w:type="band1Vert">
      <w:tcPr>
        <w:shd w:val="clear" w:color="ffffff" w:fill="fdd2ba" w:themeFill="accent3" w:themeFillTint="34"/>
      </w:tcPr>
    </w:tblStylePr>
    <w:tblStylePr w:type="band2Horz">
      <w:rPr>
        <w:color w:val="5e2201" w:themeColor="accent3" w:themeTint="FE" w:themeShade="95"/>
        <w:sz w:val="22"/>
      </w:rPr>
    </w:tblStylePr>
    <w:tblStylePr w:type="firstCol">
      <w:rPr>
        <w:i/>
        <w:color w:val="5e2201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e2201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e2201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e2201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9104ab" w:themeColor="accent4" w:themeTint="9A" w:themeShade="95"/>
        <w:sz w:val="22"/>
      </w:rPr>
      <w:tcPr>
        <w:shd w:val="clear" w:color="ffffff" w:fill="f3bafd" w:themeFill="accent4" w:themeFillTint="34"/>
      </w:tcPr>
    </w:tblStylePr>
    <w:tblStylePr w:type="band1Vert">
      <w:tcPr>
        <w:shd w:val="clear" w:color="ffffff" w:fill="f3bafd" w:themeFill="accent4" w:themeFillTint="34"/>
      </w:tcPr>
    </w:tblStylePr>
    <w:tblStylePr w:type="band2Horz">
      <w:rPr>
        <w:color w:val="9104ab" w:themeColor="accent4" w:themeTint="9A" w:themeShade="95"/>
        <w:sz w:val="22"/>
      </w:rPr>
    </w:tblStylePr>
    <w:tblStylePr w:type="firstCol">
      <w:rPr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9104ab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104ab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745700" w:themeColor="accent5" w:themeShade="95"/>
        <w:sz w:val="22"/>
      </w:rPr>
      <w:tcPr>
        <w:shd w:val="clear" w:color="ffffff" w:fill="ffefbf" w:themeFill="accent5" w:themeFillTint="34"/>
      </w:tcPr>
    </w:tblStylePr>
    <w:tblStylePr w:type="band1Vert">
      <w:tcPr>
        <w:shd w:val="clear" w:color="ffffff" w:fill="ffefbf" w:themeFill="accent5" w:themeFillTint="34"/>
      </w:tcPr>
    </w:tblStylePr>
    <w:tblStylePr w:type="band2Horz">
      <w:rPr>
        <w:color w:val="745700" w:themeColor="accent5" w:themeShade="95"/>
        <w:sz w:val="22"/>
      </w:rPr>
    </w:tblStylePr>
    <w:tblStylePr w:type="firstCol">
      <w:rPr>
        <w:i/>
        <w:color w:val="745700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745700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745700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45700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741111" w:themeColor="accent6" w:themeShade="95"/>
        <w:sz w:val="22"/>
      </w:rPr>
      <w:tcPr>
        <w:shd w:val="clear" w:color="ffffff" w:fill="f7cccc" w:themeFill="accent6" w:themeFillTint="34"/>
      </w:tcPr>
    </w:tblStylePr>
    <w:tblStylePr w:type="band1Vert">
      <w:tcPr>
        <w:shd w:val="clear" w:color="ffffff" w:fill="f7cccc" w:themeFill="accent6" w:themeFillTint="34"/>
      </w:tcPr>
    </w:tblStylePr>
    <w:tblStylePr w:type="band2Horz">
      <w:rPr>
        <w:color w:val="741111" w:themeColor="accent6" w:themeShade="95"/>
        <w:sz w:val="22"/>
      </w:rPr>
    </w:tblStylePr>
    <w:tblStylePr w:type="firstCol">
      <w:rPr>
        <w:i/>
        <w:color w:val="741111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741111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741111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41111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6fdaa" w:themeFill="accent1" w:themeFillTint="40"/>
      </w:tcPr>
    </w:tblStylePr>
    <w:tblStylePr w:type="band1Vert">
      <w:tcPr>
        <w:shd w:val="clear" w:color="ffffff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aae1fd" w:themeFill="accent2" w:themeFillTint="40"/>
      </w:tcPr>
    </w:tblStylePr>
    <w:tblStylePr w:type="band1Vert">
      <w:tcPr>
        <w:shd w:val="clear" w:color="ffffff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dc7aa" w:themeFill="accent3" w:themeFillTint="40"/>
      </w:tcPr>
    </w:tblStylePr>
    <w:tblStylePr w:type="band1Vert">
      <w:tcPr>
        <w:shd w:val="clear" w:color="ffffff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0aafd" w:themeFill="accent4" w:themeFillTint="40"/>
      </w:tcPr>
    </w:tblStylePr>
    <w:tblStylePr w:type="band1Vert">
      <w:tcPr>
        <w:shd w:val="clear" w:color="ffffff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bb1" w:themeFill="accent5" w:themeFillTint="40"/>
      </w:tcPr>
    </w:tblStylePr>
    <w:tblStylePr w:type="band1Vert">
      <w:tcPr>
        <w:shd w:val="clear" w:color="ffffff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5c2c2" w:themeFill="accent6" w:themeFillTint="40"/>
      </w:tcPr>
    </w:tblStylePr>
    <w:tblStylePr w:type="band1Vert">
      <w:tcPr>
        <w:shd w:val="clear" w:color="ffffff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01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b6fdaa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b6fdaa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02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aae1fd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aae1fd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03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dc7aa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dc7aa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04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0aafd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0aafd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05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ebb1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ebb1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06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5c2c2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5c2c2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07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36b8fb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a7a35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c33f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042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96e6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b6fdaa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aae1fd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369a3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dc7aa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33e0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0aafd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e03a3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ebb1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9c00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5c2c2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211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36b8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36b8fb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a7a35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a7a35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c33fa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c33fa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042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042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e96e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e96e6e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2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b6fdaa" w:themeFill="accent1" w:themeFillTint="40"/>
      </w:tcPr>
    </w:tblStylePr>
    <w:tblStylePr w:type="band1Vert">
      <w:tcPr>
        <w:shd w:val="clear" w:color="ffffff" w:fill="b6fdaa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0e5e01" w:themeColor="accent1" w:themeShade="95"/>
      </w:rPr>
    </w:tblStylePr>
    <w:tblStylePr w:type="firstRow">
      <w:rPr>
        <w:b/>
        <w:color w:val="0e5e0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e01" w:themeColor="accent1" w:themeShade="95"/>
      </w:rPr>
    </w:tblStylePr>
    <w:tblStylePr w:type="lastRow">
      <w:rPr>
        <w:b/>
        <w:color w:val="0e5e0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aae1fd" w:themeFill="accent2" w:themeFillTint="40"/>
      </w:tcPr>
    </w:tblStylePr>
    <w:tblStylePr w:type="band1Vert">
      <w:tcPr>
        <w:shd w:val="clear" w:color="ffffff" w:fill="aae1fd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3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dc7aa" w:themeFill="accent3" w:themeFillTint="40"/>
      </w:tcPr>
    </w:tblStylePr>
    <w:tblStylePr w:type="band1Vert">
      <w:tcPr>
        <w:shd w:val="clear" w:color="ffffff" w:fill="fdc7aa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ab3b04" w:themeColor="accent3" w:themeTint="98" w:themeShade="95"/>
      </w:rPr>
    </w:tblStylePr>
    <w:tblStylePr w:type="firstRow">
      <w:rPr>
        <w:b/>
        <w:color w:val="ab3b04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ab3b04" w:themeColor="accent3" w:themeTint="98" w:themeShade="95"/>
      </w:rPr>
    </w:tblStylePr>
    <w:tblStylePr w:type="lastRow">
      <w:rPr>
        <w:b/>
        <w:color w:val="ab3b04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3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0aafd" w:themeFill="accent4" w:themeFillTint="40"/>
      </w:tcPr>
    </w:tblStylePr>
    <w:tblStylePr w:type="band1Vert">
      <w:tcPr>
        <w:shd w:val="clear" w:color="ffffff" w:fill="f0aafd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3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ebb1" w:themeFill="accent5" w:themeFillTint="40"/>
      </w:tcPr>
    </w:tblStylePr>
    <w:tblStylePr w:type="band1Vert">
      <w:tcPr>
        <w:shd w:val="clear" w:color="ffffff" w:fill="ffebb1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ba8700" w:themeColor="accent5" w:themeTint="9A" w:themeShade="95"/>
      </w:rPr>
    </w:tblStylePr>
    <w:tblStylePr w:type="firstRow">
      <w:rPr>
        <w:b/>
        <w:color w:val="ba870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ba8700" w:themeColor="accent5" w:themeTint="9A" w:themeShade="95"/>
      </w:rPr>
    </w:tblStylePr>
    <w:tblStylePr w:type="lastRow">
      <w:rPr>
        <w:b/>
        <w:color w:val="ba870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3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5c2c2" w:themeFill="accent6" w:themeFillTint="40"/>
      </w:tcPr>
    </w:tblStylePr>
    <w:tblStylePr w:type="band1Vert">
      <w:tcPr>
        <w:shd w:val="clear" w:color="ffffff" w:fill="f5c2c2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ad1a1a" w:themeColor="accent6" w:themeTint="98" w:themeShade="95"/>
      </w:rPr>
    </w:tblStylePr>
    <w:tblStylePr w:type="firstRow">
      <w:rPr>
        <w:b/>
        <w:color w:val="ad1a1a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ad1a1a" w:themeColor="accent6" w:themeTint="98" w:themeShade="95"/>
      </w:rPr>
    </w:tblStylePr>
    <w:tblStylePr w:type="lastRow">
      <w:rPr>
        <w:b/>
        <w:color w:val="ad1a1a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35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3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0e5e01" w:themeColor="accent1" w:themeShade="95"/>
        <w:sz w:val="22"/>
      </w:rPr>
      <w:tcPr>
        <w:shd w:val="clear" w:color="ffffff" w:fill="b6fdaa" w:themeFill="accent1" w:themeFillTint="40"/>
      </w:tcPr>
    </w:tblStylePr>
    <w:tblStylePr w:type="band1Vert">
      <w:tcPr>
        <w:shd w:val="clear" w:color="ffffff" w:fill="b6fdaa" w:themeFill="accent1" w:themeFillTint="40"/>
      </w:tcPr>
    </w:tblStylePr>
    <w:tblStylePr w:type="band2Horz">
      <w:rPr>
        <w:color w:val="0e5e01" w:themeColor="accent1" w:themeShade="95"/>
        <w:sz w:val="22"/>
      </w:rPr>
    </w:tblStylePr>
    <w:tblStylePr w:type="firstCol">
      <w:rPr>
        <w:i/>
        <w:color w:val="0e5e0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0e5e0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0e5e0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0e5e0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0e5e01" w:themeColor="accent1" w:themeShade="95"/>
        <w:sz w:val="22"/>
      </w:rPr>
    </w:tblStylePr>
  </w:style>
  <w:style w:type="table" w:styleId="83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0378ae" w:themeColor="accent2" w:themeTint="97" w:themeShade="95"/>
        <w:sz w:val="22"/>
      </w:rPr>
      <w:tcPr>
        <w:shd w:val="clear" w:color="ffffff" w:fill="aae1fd" w:themeFill="accent2" w:themeFillTint="40"/>
      </w:tcPr>
    </w:tblStylePr>
    <w:tblStylePr w:type="band1Vert">
      <w:tcPr>
        <w:shd w:val="clear" w:color="ffffff" w:fill="aae1fd" w:themeFill="accent2" w:themeFillTint="40"/>
      </w:tcPr>
    </w:tblStylePr>
    <w:tblStylePr w:type="band2Horz">
      <w:rPr>
        <w:color w:val="0378ae" w:themeColor="accent2" w:themeTint="97" w:themeShade="95"/>
        <w:sz w:val="22"/>
      </w:rPr>
    </w:tblStylePr>
    <w:tblStylePr w:type="firstCol">
      <w:rPr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0378ae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0378ae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0378ae" w:themeColor="accent2" w:themeTint="97" w:themeShade="95"/>
        <w:sz w:val="22"/>
      </w:rPr>
    </w:tblStylePr>
  </w:style>
  <w:style w:type="table" w:styleId="83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ab3b04" w:themeColor="accent3" w:themeTint="98" w:themeShade="95"/>
        <w:sz w:val="22"/>
      </w:rPr>
      <w:tcPr>
        <w:shd w:val="clear" w:color="ffffff" w:fill="fdc7aa" w:themeFill="accent3" w:themeFillTint="40"/>
      </w:tcPr>
    </w:tblStylePr>
    <w:tblStylePr w:type="band1Vert">
      <w:tcPr>
        <w:shd w:val="clear" w:color="ffffff" w:fill="fdc7aa" w:themeFill="accent3" w:themeFillTint="40"/>
      </w:tcPr>
    </w:tblStylePr>
    <w:tblStylePr w:type="band2Horz">
      <w:rPr>
        <w:color w:val="ab3b04" w:themeColor="accent3" w:themeTint="98" w:themeShade="95"/>
        <w:sz w:val="22"/>
      </w:rPr>
    </w:tblStylePr>
    <w:tblStylePr w:type="firstCol">
      <w:rPr>
        <w:i/>
        <w:color w:val="ab3b04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ab3b04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ab3b04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ab3b04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ab3b04" w:themeColor="accent3" w:themeTint="98" w:themeShade="95"/>
        <w:sz w:val="22"/>
      </w:rPr>
    </w:tblStylePr>
  </w:style>
  <w:style w:type="table" w:styleId="83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9104ab" w:themeColor="accent4" w:themeTint="9A" w:themeShade="95"/>
        <w:sz w:val="22"/>
      </w:rPr>
      <w:tcPr>
        <w:shd w:val="clear" w:color="ffffff" w:fill="f0aafd" w:themeFill="accent4" w:themeFillTint="40"/>
      </w:tcPr>
    </w:tblStylePr>
    <w:tblStylePr w:type="band1Vert">
      <w:tcPr>
        <w:shd w:val="clear" w:color="ffffff" w:fill="f0aafd" w:themeFill="accent4" w:themeFillTint="40"/>
      </w:tcPr>
    </w:tblStylePr>
    <w:tblStylePr w:type="band2Horz">
      <w:rPr>
        <w:color w:val="9104ab" w:themeColor="accent4" w:themeTint="9A" w:themeShade="95"/>
        <w:sz w:val="22"/>
      </w:rPr>
    </w:tblStylePr>
    <w:tblStylePr w:type="firstCol">
      <w:rPr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9104ab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104ab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104ab" w:themeColor="accent4" w:themeTint="9A" w:themeShade="95"/>
        <w:sz w:val="22"/>
      </w:rPr>
    </w:tblStylePr>
  </w:style>
  <w:style w:type="table" w:styleId="84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ba8700" w:themeColor="accent5" w:themeTint="9A" w:themeShade="95"/>
        <w:sz w:val="22"/>
      </w:rPr>
      <w:tcPr>
        <w:shd w:val="clear" w:color="ffffff" w:fill="ffebb1" w:themeFill="accent5" w:themeFillTint="40"/>
      </w:tcPr>
    </w:tblStylePr>
    <w:tblStylePr w:type="band1Vert">
      <w:tcPr>
        <w:shd w:val="clear" w:color="ffffff" w:fill="ffebb1" w:themeFill="accent5" w:themeFillTint="40"/>
      </w:tcPr>
    </w:tblStylePr>
    <w:tblStylePr w:type="band2Horz">
      <w:rPr>
        <w:color w:val="ba8700" w:themeColor="accent5" w:themeTint="9A" w:themeShade="95"/>
        <w:sz w:val="22"/>
      </w:rPr>
    </w:tblStylePr>
    <w:tblStylePr w:type="firstCol">
      <w:rPr>
        <w:i/>
        <w:color w:val="ba870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ba870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ba870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a870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ba8700" w:themeColor="accent5" w:themeTint="9A" w:themeShade="95"/>
        <w:sz w:val="22"/>
      </w:rPr>
    </w:tblStylePr>
  </w:style>
  <w:style w:type="table" w:styleId="84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ad1a1a" w:themeColor="accent6" w:themeTint="98" w:themeShade="95"/>
        <w:sz w:val="22"/>
      </w:rPr>
      <w:tcPr>
        <w:shd w:val="clear" w:color="ffffff" w:fill="f5c2c2" w:themeFill="accent6" w:themeFillTint="40"/>
      </w:tcPr>
    </w:tblStylePr>
    <w:tblStylePr w:type="band1Vert">
      <w:tcPr>
        <w:shd w:val="clear" w:color="ffffff" w:fill="f5c2c2" w:themeFill="accent6" w:themeFillTint="40"/>
      </w:tcPr>
    </w:tblStylePr>
    <w:tblStylePr w:type="band2Horz">
      <w:rPr>
        <w:color w:val="ad1a1a" w:themeColor="accent6" w:themeTint="98" w:themeShade="95"/>
        <w:sz w:val="22"/>
      </w:rPr>
    </w:tblStylePr>
    <w:tblStylePr w:type="firstCol">
      <w:rPr>
        <w:i/>
        <w:color w:val="ad1a1a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ad1a1a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ad1a1a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ad1a1a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ad1a1a" w:themeColor="accent6" w:themeTint="98" w:themeShade="95"/>
        <w:sz w:val="22"/>
      </w:rPr>
    </w:tblStylePr>
  </w:style>
  <w:style w:type="table" w:styleId="84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4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a3fc95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a3fc95" w:themeFill="accent1" w:themeFillTint="50"/>
      </w:tcPr>
    </w:tblStylePr>
    <w:tblStylePr w:type="fir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firstRow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Row">
      <w:rPr>
        <w:color w:val="f2f2f2"/>
        <w:sz w:val="22"/>
      </w:rPr>
      <w:tcPr>
        <w:shd w:val="clear" w:color="ffffff" w:fill="1ebe03" w:themeFill="accent1" w:themeFillTint="EA"/>
      </w:tcPr>
    </w:tblStylePr>
  </w:style>
  <w:style w:type="table" w:styleId="84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firstRow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Row">
      <w:rPr>
        <w:color w:val="f2f2f2"/>
        <w:sz w:val="22"/>
      </w:rPr>
      <w:tcPr>
        <w:shd w:val="clear" w:color="ffffff" w:fill="36b8fb" w:themeFill="accent2" w:themeFillTint="97"/>
      </w:tcPr>
    </w:tblStylePr>
  </w:style>
  <w:style w:type="table" w:styleId="84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Row">
      <w:rPr>
        <w:color w:val="f2f2f2"/>
        <w:sz w:val="22"/>
      </w:rPr>
      <w:tcPr>
        <w:shd w:val="clear" w:color="ffffff" w:fill="a43c03" w:themeFill="accent3" w:themeFillTint="FE"/>
      </w:tcPr>
    </w:tblStylePr>
  </w:style>
  <w:style w:type="table" w:styleId="84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firstRow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Row">
      <w:rPr>
        <w:color w:val="f2f2f2"/>
        <w:sz w:val="22"/>
      </w:rPr>
      <w:tcPr>
        <w:shd w:val="clear" w:color="ffffff" w:fill="dc33fa" w:themeFill="accent4" w:themeFillTint="9A"/>
      </w:tcPr>
    </w:tblStylePr>
  </w:style>
  <w:style w:type="table" w:styleId="84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c99c00" w:themeFill="accent5"/>
      </w:tcPr>
    </w:tblStylePr>
    <w:tblStylePr w:type="firstRow">
      <w:rPr>
        <w:color w:val="f2f2f2"/>
        <w:sz w:val="22"/>
      </w:rPr>
      <w:tcPr>
        <w:shd w:val="clear" w:color="ffffff" w:fill="c99c00" w:themeFill="accent5"/>
      </w:tcPr>
    </w:tblStylePr>
    <w:tblStylePr w:type="lastCol">
      <w:rPr>
        <w:color w:val="f2f2f2"/>
        <w:sz w:val="22"/>
      </w:rPr>
      <w:tcPr>
        <w:shd w:val="clear" w:color="ffffff" w:fill="c99c00" w:themeFill="accent5"/>
      </w:tcPr>
    </w:tblStylePr>
    <w:tblStylePr w:type="lastRow">
      <w:rPr>
        <w:color w:val="f2f2f2"/>
        <w:sz w:val="22"/>
      </w:rPr>
      <w:tcPr>
        <w:shd w:val="clear" w:color="ffffff" w:fill="c99c00" w:themeFill="accent5"/>
      </w:tcPr>
    </w:tblStylePr>
  </w:style>
  <w:style w:type="table" w:styleId="84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color w:val="f2f2f2"/>
        <w:sz w:val="22"/>
      </w:rPr>
      <w:tcPr>
        <w:shd w:val="clear" w:color="ffffff" w:fill="c9211e" w:themeFill="accent6"/>
      </w:tcPr>
    </w:tblStylePr>
    <w:tblStylePr w:type="firstRow">
      <w:rPr>
        <w:color w:val="f2f2f2"/>
        <w:sz w:val="22"/>
      </w:rPr>
      <w:tcPr>
        <w:shd w:val="clear" w:color="ffffff" w:fill="c9211e" w:themeFill="accent6"/>
      </w:tcPr>
    </w:tblStylePr>
    <w:tblStylePr w:type="lastCol">
      <w:rPr>
        <w:color w:val="f2f2f2"/>
        <w:sz w:val="22"/>
      </w:rPr>
      <w:tcPr>
        <w:shd w:val="clear" w:color="ffffff" w:fill="c9211e" w:themeFill="accent6"/>
      </w:tcPr>
    </w:tblStylePr>
    <w:tblStylePr w:type="lastRow">
      <w:rPr>
        <w:color w:val="f2f2f2"/>
        <w:sz w:val="22"/>
      </w:rPr>
      <w:tcPr>
        <w:shd w:val="clear" w:color="ffffff" w:fill="c9211e" w:themeFill="accent6"/>
      </w:tcPr>
    </w:tblStylePr>
  </w:style>
  <w:style w:type="table" w:styleId="84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5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a3fc95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a3fc95" w:themeFill="accent1" w:themeFillTint="50"/>
      </w:tcPr>
    </w:tblStylePr>
    <w:tblStylePr w:type="fir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firstRow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Row">
      <w:rPr>
        <w:color w:val="f2f2f2"/>
        <w:sz w:val="22"/>
      </w:rPr>
      <w:tcPr>
        <w:shd w:val="clear" w:color="ffffff" w:fill="1ebe03" w:themeFill="accent1" w:themeFillTint="EA"/>
      </w:tcPr>
    </w:tblStylePr>
  </w:style>
  <w:style w:type="table" w:styleId="85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firstRow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Row">
      <w:rPr>
        <w:color w:val="f2f2f2"/>
        <w:sz w:val="22"/>
      </w:rPr>
      <w:tcPr>
        <w:shd w:val="clear" w:color="ffffff" w:fill="36b8fb" w:themeFill="accent2" w:themeFillTint="97"/>
      </w:tcPr>
    </w:tblStylePr>
  </w:style>
  <w:style w:type="table" w:styleId="85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Row">
      <w:rPr>
        <w:color w:val="f2f2f2"/>
        <w:sz w:val="22"/>
      </w:rPr>
      <w:tcPr>
        <w:shd w:val="clear" w:color="ffffff" w:fill="a43c03" w:themeFill="accent3" w:themeFillTint="FE"/>
      </w:tcPr>
    </w:tblStylePr>
  </w:style>
  <w:style w:type="table" w:styleId="85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firstRow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Row">
      <w:rPr>
        <w:color w:val="f2f2f2"/>
        <w:sz w:val="22"/>
      </w:rPr>
      <w:tcPr>
        <w:shd w:val="clear" w:color="ffffff" w:fill="dc33fa" w:themeFill="accent4" w:themeFillTint="9A"/>
      </w:tcPr>
    </w:tblStylePr>
  </w:style>
  <w:style w:type="table" w:styleId="85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c99c00" w:themeFill="accent5"/>
      </w:tcPr>
    </w:tblStylePr>
    <w:tblStylePr w:type="firstRow">
      <w:rPr>
        <w:color w:val="f2f2f2"/>
        <w:sz w:val="22"/>
      </w:rPr>
      <w:tcPr>
        <w:shd w:val="clear" w:color="ffffff" w:fill="c99c00" w:themeFill="accent5"/>
      </w:tcPr>
    </w:tblStylePr>
    <w:tblStylePr w:type="lastCol">
      <w:rPr>
        <w:color w:val="f2f2f2"/>
        <w:sz w:val="22"/>
      </w:rPr>
      <w:tcPr>
        <w:shd w:val="clear" w:color="ffffff" w:fill="c99c00" w:themeFill="accent5"/>
      </w:tcPr>
    </w:tblStylePr>
    <w:tblStylePr w:type="lastRow">
      <w:rPr>
        <w:color w:val="f2f2f2"/>
        <w:sz w:val="22"/>
      </w:rPr>
      <w:tcPr>
        <w:shd w:val="clear" w:color="ffffff" w:fill="c99c00" w:themeFill="accent5"/>
      </w:tcPr>
    </w:tblStylePr>
  </w:style>
  <w:style w:type="table" w:styleId="85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color w:val="f2f2f2"/>
        <w:sz w:val="22"/>
      </w:rPr>
      <w:tcPr>
        <w:shd w:val="clear" w:color="ffffff" w:fill="c9211e" w:themeFill="accent6"/>
      </w:tcPr>
    </w:tblStylePr>
    <w:tblStylePr w:type="firstRow">
      <w:rPr>
        <w:color w:val="f2f2f2"/>
        <w:sz w:val="22"/>
      </w:rPr>
      <w:tcPr>
        <w:shd w:val="clear" w:color="ffffff" w:fill="c9211e" w:themeFill="accent6"/>
      </w:tcPr>
    </w:tblStylePr>
    <w:tblStylePr w:type="lastCol">
      <w:rPr>
        <w:color w:val="f2f2f2"/>
        <w:sz w:val="22"/>
      </w:rPr>
      <w:tcPr>
        <w:shd w:val="clear" w:color="ffffff" w:fill="c9211e" w:themeFill="accent6"/>
      </w:tcPr>
    </w:tblStylePr>
    <w:tblStylePr w:type="lastRow">
      <w:rPr>
        <w:color w:val="f2f2f2"/>
        <w:sz w:val="22"/>
      </w:rPr>
      <w:tcPr>
        <w:shd w:val="clear" w:color="ffffff" w:fill="c9211e" w:themeFill="accent6"/>
      </w:tcPr>
    </w:tblStylePr>
  </w:style>
  <w:style w:type="table" w:styleId="856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57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8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59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60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61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62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6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dc:description/>
  <dc:language>ru-RU</dc:language>
  <cp:revision>200</cp:revision>
  <dcterms:created xsi:type="dcterms:W3CDTF">2023-03-14T07:45:00Z</dcterms:created>
  <dcterms:modified xsi:type="dcterms:W3CDTF">2024-10-25T08:51:03Z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