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highlight w:val="none"/>
          <w:shd w:fill="auto" w:val="clear"/>
        </w:rPr>
      </w:pPr>
      <w:r>
        <w:rPr>
          <w:shd w:fill="auto" w:val="clear"/>
        </w:rPr>
        <w:drawing>
          <wp:inline distT="0" distB="0" distL="0" distR="0">
            <wp:extent cx="533400" cy="6477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drawing>
          <wp:inline distT="0" distB="0" distL="0" distR="0">
            <wp:extent cx="6076950" cy="742950"/>
            <wp:effectExtent l="0" t="0" r="0" b="0"/>
            <wp:docPr id="2" name="Рисунок 2" descr="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пост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5"/>
        <w:gridCol w:w="5670"/>
        <w:gridCol w:w="884"/>
      </w:tblGrid>
      <w:tr>
        <w:trPr>
          <w:trHeight w:val="20" w:hRule="atLeast"/>
        </w:trPr>
        <w:tc>
          <w:tcPr>
            <w:tcW w:w="3085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26"/>
                <w:szCs w:val="26"/>
                <w:shd w:fill="auto" w:val="clear"/>
                <w:lang w:eastAsia="ru-RU"/>
              </w:rPr>
              <w:t>26</w:t>
            </w:r>
          </w:p>
        </w:tc>
        <w:tc>
          <w:tcPr>
            <w:tcW w:w="567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6"/>
                <w:szCs w:val="26"/>
                <w:shd w:fill="auto" w:val="clear"/>
                <w:lang w:eastAsia="ru-RU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  <w:shd w:fill="auto" w:val="clear"/>
                <w:lang w:eastAsia="ru-RU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eastAsia="ru-RU"/>
              </w:rPr>
            </w:r>
          </w:p>
        </w:tc>
      </w:tr>
    </w:tbl>
    <w:p>
      <w:pPr>
        <w:pStyle w:val="5"/>
        <w:numPr>
          <w:ilvl w:val="0"/>
          <w:numId w:val="0"/>
        </w:numPr>
        <w:tabs>
          <w:tab w:val="clear" w:pos="708"/>
          <w:tab w:val="left" w:pos="-24208" w:leader="none"/>
        </w:tabs>
        <w:ind w:left="0" w:hanging="0"/>
        <w:jc w:val="left"/>
        <w:rPr>
          <w:rFonts w:ascii="Times New Roman" w:hAnsi="Times New Roman" w:cs="Times New Roman"/>
          <w:sz w:val="26"/>
          <w:szCs w:val="24"/>
          <w:highlight w:val="none"/>
          <w:shd w:fill="auto" w:val="clear"/>
          <w:lang w:val="ru-RU"/>
        </w:rPr>
      </w:pPr>
      <w:r>
        <w:rPr>
          <w:rFonts w:cs="Times New Roman" w:ascii="Times New Roman" w:hAnsi="Times New Roman"/>
          <w:sz w:val="26"/>
          <w:szCs w:val="24"/>
          <w:shd w:fill="auto" w:val="clear"/>
          <w:lang w:val="ru-RU"/>
        </w:rPr>
      </w:r>
    </w:p>
    <w:p>
      <w:pPr>
        <w:pStyle w:val="5"/>
        <w:numPr>
          <w:ilvl w:val="0"/>
          <w:numId w:val="0"/>
        </w:numPr>
        <w:tabs>
          <w:tab w:val="clear" w:pos="708"/>
          <w:tab w:val="left" w:pos="-24208" w:leader="none"/>
        </w:tabs>
        <w:ind w:left="0" w:hanging="0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4"/>
          <w:shd w:fill="auto" w:val="clear"/>
          <w:lang w:val="ru-RU"/>
        </w:rPr>
        <w:t xml:space="preserve">О назначении публичных слушаний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/>
        </w:rPr>
        <w:t xml:space="preserve">по проектам постановлений Администрации города Костромы о предоставлении разрешений на отклонение от предельных параметров разрешенного строительства, реконструкции объектов капитального строительства на земельных участках, имеющих местоположение в городе Костроме: проспект Речной, д. 64/1, с кадастровым номером 44:27:020312:1, улица Профсоюзная, д 34б, с кадастровым номером 44:27:070408:82, </w:t>
      </w:r>
      <w:r>
        <w:rPr>
          <w:rFonts w:eastAsia="Times New Roman" w:cs="Times New Roman" w:ascii="Times New Roman" w:hAnsi="Times New Roman"/>
          <w:color w:val="000000"/>
          <w:sz w:val="26"/>
          <w:szCs w:val="24"/>
          <w:shd w:fill="auto" w:val="clear"/>
          <w:lang w:val="ru-RU"/>
        </w:rPr>
        <w:t xml:space="preserve">о предоставлении разрешений на условно разрешенный вид использования земельных участков или объектов капитального строительства, имеющих местоположение в городе Костроме: улица Волжская 2-я, д 8, с кадастровым номером 44:27:070109:610, территория ГСК 191, бокс 52, </w:t>
      </w:r>
    </w:p>
    <w:p>
      <w:pPr>
        <w:pStyle w:val="5"/>
        <w:numPr>
          <w:ilvl w:val="0"/>
          <w:numId w:val="0"/>
        </w:numPr>
        <w:tabs>
          <w:tab w:val="clear" w:pos="708"/>
          <w:tab w:val="left" w:pos="-24208" w:leader="none"/>
        </w:tabs>
        <w:ind w:left="0" w:hanging="0"/>
        <w:jc w:val="center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4"/>
          <w:shd w:fill="auto" w:val="clear"/>
          <w:lang w:val="ru-RU"/>
        </w:rPr>
        <w:t>с кадастровым номером 44:27:040732:710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Style28"/>
        <w:rPr>
          <w:highlight w:val="none"/>
          <w:shd w:fill="auto" w:val="clear"/>
        </w:rPr>
      </w:pPr>
      <w:r>
        <w:rPr>
          <w:rFonts w:eastAsia="Times New Roman" w:cs="Times New Roman"/>
          <w:color w:val="000000"/>
          <w:sz w:val="26"/>
          <w:szCs w:val="26"/>
          <w:shd w:fill="auto" w:val="clear"/>
          <w:lang w:val="ru-RU" w:eastAsia="ar-SA" w:bidi="ar-SA"/>
        </w:rPr>
        <w:t>Рассмотрев обращение главы Администрации города Костромы «О назначении публичных слушаний»,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статьями 5.1, 39                 Градостроительного кодекса Российской Федерации, Федеральным законом                    от 6 октября 2003 года № 131-ФЗ «Об общих принципах организации местного             самоуправления в Российской Федерации», Порядком организации и проведения          публичных слушаний, общественных обсуждений по проектам муниципальных               правовых актов города Костромы в сфере градостроительной деятельности,                   Правилами землепользования и застройки города Костромы, руководствуясь статьями 20, 37 и 56 Устава города Костромы,</w:t>
      </w:r>
    </w:p>
    <w:p>
      <w:pPr>
        <w:pStyle w:val="Style28"/>
        <w:rPr>
          <w:rFonts w:eastAsia="Times New Roman" w:cs="Times New Roman"/>
          <w:color w:val="000000"/>
          <w:sz w:val="26"/>
          <w:szCs w:val="26"/>
          <w:highlight w:val="none"/>
          <w:shd w:fill="auto" w:val="clear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fill="auto" w:val="clear"/>
          <w:lang w:val="ru-RU" w:eastAsia="ar-SA" w:bidi="ar-SA"/>
          <w14:ligatures w14:val="none"/>
        </w:rPr>
      </w:r>
    </w:p>
    <w:p>
      <w:pPr>
        <w:pStyle w:val="Style28"/>
        <w:rPr>
          <w:highlight w:val="none"/>
          <w:shd w:fill="auto" w:val="clear"/>
        </w:rPr>
      </w:pPr>
      <w:r>
        <w:rPr>
          <w:rFonts w:eastAsia="Times New Roman" w:cs="Times New Roman"/>
          <w:color w:val="000000"/>
          <w:sz w:val="26"/>
          <w:szCs w:val="26"/>
          <w:shd w:fill="auto" w:val="clear"/>
          <w:lang w:val="ru-RU" w:eastAsia="ar-SA" w:bidi="ar-SA"/>
        </w:rPr>
        <w:t>ПОСТАНОВЛЯЮ:</w:t>
      </w:r>
    </w:p>
    <w:p>
      <w:pPr>
        <w:pStyle w:val="Style28"/>
        <w:rPr>
          <w:rFonts w:eastAsia="Times New Roman" w:cs="Times New Roman"/>
          <w:color w:val="000000"/>
          <w:sz w:val="26"/>
          <w:szCs w:val="26"/>
          <w:highlight w:val="none"/>
          <w:shd w:fill="auto" w:val="clear"/>
          <w:lang w:val="ru-RU" w:eastAsia="ar-SA" w:bidi="ar-SA"/>
          <w14:ligatures w14:val="none"/>
        </w:rPr>
      </w:pPr>
      <w:r>
        <w:rPr>
          <w:rFonts w:eastAsia="Times New Roman" w:cs="Times New Roman"/>
          <w:color w:val="000000"/>
          <w:sz w:val="26"/>
          <w:szCs w:val="26"/>
          <w:shd w:fill="auto" w:val="clear"/>
          <w:lang w:val="ru-RU" w:eastAsia="ar-SA" w:bidi="ar-SA"/>
          <w14:ligatures w14:val="none"/>
        </w:rPr>
      </w:r>
    </w:p>
    <w:p>
      <w:pPr>
        <w:pStyle w:val="Style28"/>
        <w:rPr>
          <w:highlight w:val="none"/>
          <w:shd w:fill="auto" w:val="clear"/>
        </w:rPr>
      </w:pPr>
      <w:r>
        <w:rPr>
          <w:rFonts w:eastAsia="Times New Roman" w:cs="Times New Roman"/>
          <w:color w:val="000000"/>
          <w:sz w:val="26"/>
          <w:szCs w:val="26"/>
          <w:shd w:fill="auto" w:val="clear"/>
          <w:lang w:val="ru-RU" w:eastAsia="ar-SA" w:bidi="ar-SA"/>
        </w:rPr>
        <w:t xml:space="preserve">1. Назначить публичные слушания по проектам постановлений Администрации города Костромы: </w:t>
      </w:r>
    </w:p>
    <w:p>
      <w:pPr>
        <w:pStyle w:val="Style28"/>
        <w:rPr>
          <w:highlight w:val="none"/>
          <w:shd w:fill="auto" w:val="clear"/>
        </w:rPr>
      </w:pPr>
      <w:r>
        <w:rPr>
          <w:rFonts w:eastAsia="Times New Roman" w:cs="Times New Roman"/>
          <w:color w:val="000000"/>
          <w:sz w:val="26"/>
          <w:szCs w:val="26"/>
          <w:shd w:fill="auto" w:val="clear"/>
          <w:lang w:val="ru-RU" w:eastAsia="ar-SA" w:bidi="ar-SA"/>
        </w:rPr>
        <w:t>1) на отклонение от предельных параметров разрешенного строительства, реконструкции объектов капитального строительства земельного участка</w:t>
      </w:r>
      <w:r>
        <w:rPr>
          <w:rFonts w:eastAsia="Times New Roman" w:cs="Times New Roman"/>
          <w:color w:val="000000"/>
          <w:sz w:val="26"/>
          <w:szCs w:val="24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fill="auto" w:val="clear"/>
          <w:lang w:val="ru-RU" w:eastAsia="ar-SA" w:bidi="ar-SA"/>
        </w:rPr>
        <w:t>с кадастровым номером</w:t>
      </w:r>
      <w:r>
        <w:rPr>
          <w:rFonts w:eastAsia="Times New Roman" w:cs="Times New Roman"/>
          <w:color w:val="000000"/>
          <w:sz w:val="26"/>
          <w:szCs w:val="26"/>
          <w:shd w:fill="auto" w:val="clear"/>
          <w:lang w:val="ru-RU" w:eastAsia="zh-CN" w:bidi="ar-SA"/>
        </w:rPr>
        <w:t xml:space="preserve"> 44:27:020312:1</w:t>
      </w:r>
      <w:r>
        <w:rPr>
          <w:rFonts w:eastAsia="Times New Roman" w:cs="Times New Roman"/>
          <w:color w:val="000000"/>
          <w:sz w:val="26"/>
          <w:szCs w:val="26"/>
          <w:shd w:fill="auto" w:val="clear"/>
          <w:lang w:val="ru-RU" w:eastAsia="ar-SA" w:bidi="ar-SA"/>
        </w:rPr>
        <w:t xml:space="preserve">, расположенного в зоне малоэтажной жилой застройки Ж-2,  </w:t>
      </w:r>
      <w:r>
        <w:rPr>
          <w:rFonts w:eastAsia="Times New Roman" w:cs="Times New Roman"/>
          <w:color w:val="000000"/>
          <w:sz w:val="26"/>
          <w:szCs w:val="26"/>
          <w:shd w:fill="auto" w:val="clear"/>
          <w:lang w:val="ru-RU" w:eastAsia="zh-CN" w:bidi="ar-SA"/>
        </w:rPr>
        <w:t>имеющего местоположение: Костромская область, город Кострома, проспект Речной, д. 64/1;</w:t>
      </w:r>
    </w:p>
    <w:p>
      <w:pPr>
        <w:pStyle w:val="Style28"/>
        <w:rPr>
          <w:highlight w:val="none"/>
          <w:shd w:fill="auto" w:val="clear"/>
        </w:rPr>
      </w:pPr>
      <w:r>
        <w:rPr>
          <w:rFonts w:eastAsia="Times New Roman" w:cs="Times New Roman"/>
          <w:color w:val="000000"/>
          <w:sz w:val="26"/>
          <w:szCs w:val="26"/>
          <w:shd w:fill="auto" w:val="clear"/>
          <w:lang w:val="ru-RU" w:eastAsia="ar-SA" w:bidi="ar-SA"/>
        </w:rPr>
        <w:t>2) на отклонение от предельных параметров разрешенного строительства, реконструкции объектов капитального строительства земельного участка</w:t>
      </w:r>
      <w:r>
        <w:rPr>
          <w:rFonts w:eastAsia="Times New Roman" w:cs="Times New Roman"/>
          <w:color w:val="000000"/>
          <w:sz w:val="26"/>
          <w:szCs w:val="24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shd w:fill="auto" w:val="clear"/>
          <w:lang w:val="ru-RU" w:eastAsia="ar-SA" w:bidi="ar-SA"/>
        </w:rPr>
        <w:t xml:space="preserve">с кадастровым номером </w:t>
      </w:r>
      <w:r>
        <w:rPr>
          <w:rFonts w:eastAsia="Times New Roman" w:cs="Times New Roman"/>
          <w:color w:val="000000"/>
          <w:sz w:val="26"/>
          <w:szCs w:val="26"/>
          <w:shd w:fill="auto" w:val="clear"/>
          <w:lang w:val="ru-RU" w:eastAsia="zh-CN" w:bidi="ar-SA"/>
        </w:rPr>
        <w:t xml:space="preserve">44:27:070408:82 </w:t>
      </w:r>
      <w:r>
        <w:rPr>
          <w:rFonts w:eastAsia="Times New Roman" w:cs="Times New Roman"/>
          <w:color w:val="000000"/>
          <w:sz w:val="26"/>
          <w:szCs w:val="26"/>
          <w:shd w:fill="auto" w:val="clear"/>
          <w:lang w:val="ru-RU" w:eastAsia="ar-SA" w:bidi="ar-SA"/>
        </w:rPr>
        <w:t xml:space="preserve">, расположенного в зоне среднеэтажной жилой застройки Ж-3, </w:t>
      </w:r>
      <w:r>
        <w:rPr>
          <w:rFonts w:eastAsia="Times New Roman" w:cs="Times New Roman"/>
          <w:color w:val="000000"/>
          <w:sz w:val="26"/>
          <w:szCs w:val="26"/>
          <w:shd w:fill="auto" w:val="clear"/>
          <w:lang w:val="ru-RU" w:eastAsia="zh-CN" w:bidi="ar-SA"/>
        </w:rPr>
        <w:t>имеющего местоположение: Костромская область, город Кострома, улица Профсоюзная, д 34б;</w:t>
      </w:r>
    </w:p>
    <w:p>
      <w:pPr>
        <w:pStyle w:val="Style28"/>
        <w:rPr>
          <w:highlight w:val="none"/>
          <w:shd w:fill="auto" w:val="clear"/>
        </w:rPr>
      </w:pPr>
      <w:r>
        <w:rPr>
          <w:rFonts w:eastAsia="Times New Roman" w:cs="Times New Roman"/>
          <w:color w:val="000000"/>
          <w:sz w:val="26"/>
          <w:szCs w:val="26"/>
          <w:shd w:fill="auto" w:val="clear"/>
          <w:lang w:val="ru-RU" w:eastAsia="ar-SA" w:bidi="ar-SA"/>
        </w:rPr>
        <w:t xml:space="preserve">3)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4"/>
          <w:shd w:fill="auto" w:val="clear"/>
          <w:lang w:val="ru-RU" w:eastAsia="ar-SA" w:bidi="ar-SA"/>
        </w:rPr>
        <w:t>44:27:070109:610</w:t>
      </w:r>
      <w:r>
        <w:rPr>
          <w:rFonts w:eastAsia="Times New Roman" w:cs="Times New Roman"/>
          <w:color w:val="000000"/>
          <w:sz w:val="26"/>
          <w:szCs w:val="26"/>
          <w:shd w:fill="auto" w:val="clear"/>
          <w:lang w:val="ru-RU" w:eastAsia="ar-SA" w:bidi="ar-SA"/>
        </w:rPr>
        <w:t xml:space="preserve">, расположенного в многофункциональной зоне Д-1, имеющего местоположение: Костромская область, город Кострома, </w:t>
      </w:r>
      <w:r>
        <w:rPr>
          <w:rFonts w:eastAsia="Times New Roman" w:cs="Times New Roman"/>
          <w:color w:val="000000"/>
          <w:sz w:val="26"/>
          <w:szCs w:val="24"/>
          <w:shd w:fill="auto" w:val="clear"/>
          <w:lang w:val="ru-RU" w:eastAsia="ar-SA" w:bidi="ar-SA"/>
        </w:rPr>
        <w:t>улица Волжская 2-я, д 8;</w:t>
      </w:r>
    </w:p>
    <w:p>
      <w:pPr>
        <w:pStyle w:val="Style28"/>
        <w:rPr>
          <w:highlight w:val="none"/>
          <w:shd w:fill="auto" w:val="clear"/>
        </w:rPr>
      </w:pPr>
      <w:r>
        <w:rPr>
          <w:rFonts w:eastAsia="Times New Roman" w:cs="Times New Roman"/>
          <w:color w:val="000000"/>
          <w:sz w:val="26"/>
          <w:szCs w:val="26"/>
          <w:shd w:fill="auto" w:val="clear"/>
          <w:lang w:val="ru-RU" w:eastAsia="ar-SA" w:bidi="ar-SA"/>
        </w:rPr>
        <w:t xml:space="preserve">4)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/>
          <w:color w:val="000000"/>
          <w:sz w:val="26"/>
          <w:szCs w:val="24"/>
          <w:shd w:fill="auto" w:val="clear"/>
          <w:lang w:val="ru-RU" w:eastAsia="ar-SA" w:bidi="ar-SA"/>
        </w:rPr>
        <w:t>44:27:040732:710</w:t>
      </w:r>
      <w:r>
        <w:rPr>
          <w:rFonts w:eastAsia="Times New Roman" w:cs="Times New Roman"/>
          <w:color w:val="000000"/>
          <w:sz w:val="26"/>
          <w:szCs w:val="26"/>
          <w:shd w:fill="auto" w:val="clear"/>
          <w:lang w:val="ru-RU" w:eastAsia="ar-SA" w:bidi="ar-SA"/>
        </w:rPr>
        <w:t xml:space="preserve">, расположенного в многофункциональной зоне Д-1, имеющего местоположение: Костромская область, город Кострома, </w:t>
      </w:r>
      <w:r>
        <w:rPr>
          <w:rFonts w:eastAsia="Times New Roman" w:cs="Times New Roman"/>
          <w:color w:val="000000"/>
          <w:sz w:val="26"/>
          <w:szCs w:val="24"/>
          <w:shd w:fill="auto" w:val="clear"/>
          <w:lang w:val="ru-RU" w:eastAsia="ar-SA" w:bidi="ar-SA"/>
        </w:rPr>
        <w:t>территория ГСК 191, бокс 52</w:t>
      </w:r>
      <w:r>
        <w:rPr>
          <w:rFonts w:eastAsia="Times New Roman" w:cs="Times New Roman"/>
          <w:color w:val="000000"/>
          <w:sz w:val="26"/>
          <w:szCs w:val="26"/>
          <w:shd w:fill="auto" w:val="clear"/>
          <w:lang w:val="ru-RU" w:eastAsia="ar-SA" w:bidi="ar-SA"/>
        </w:rPr>
        <w:t>, в форме собрания участников публичных слушаний по проекту муниципального правового акта в Администрации города Костромы.</w:t>
      </w:r>
    </w:p>
    <w:p>
      <w:pPr>
        <w:pStyle w:val="Style28"/>
        <w:rPr>
          <w:highlight w:val="none"/>
          <w:shd w:fill="auto" w:val="clear"/>
        </w:rPr>
      </w:pPr>
      <w:r>
        <w:rPr>
          <w:rFonts w:eastAsia="Times New Roman" w:cs="Times New Roman"/>
          <w:color w:val="000000"/>
          <w:sz w:val="26"/>
          <w:szCs w:val="26"/>
          <w:shd w:fill="auto" w:val="clear"/>
          <w:lang w:val="ru-RU" w:eastAsia="ar-SA" w:bidi="ar-SA"/>
        </w:rPr>
        <w:t xml:space="preserve">2. Определить организатором публичных слушаний по проектам постановлений Администрации города Костромы о предоставлении разрешений на отклонение от предельных параметров разрешенного строительства, реконструкции объектов капитального строительства на земельных участках, имеющих местоположение в городе Костроме: проспект Речной, д. 64/1, с кадастровым номером 44:27:020312:1, улица Профсоюзная, д 34б, с кадастровым номером 44:27:070408:82, о предоставлении разрешений на условно разрешенный вид использования земельных участков или объектов капитального строительства, имеющих местоположение в городе Костроме: улица Волжская 2-я, д 8, с кадастровым номером 44:27:070109:610, территория ГСК 191, бокс 52, с кадастровым номером 44:27:040732:710 – Комиссию по подготовке проекта Правил землепользования и застройки города Костромы.                                                                                               </w:t>
      </w:r>
    </w:p>
    <w:p>
      <w:pPr>
        <w:pStyle w:val="Style28"/>
        <w:rPr>
          <w:highlight w:val="none"/>
          <w:shd w:fill="auto" w:val="clear"/>
        </w:rPr>
      </w:pPr>
      <w:r>
        <w:rPr>
          <w:rFonts w:eastAsia="Times New Roman" w:cs="Times New Roman"/>
          <w:color w:val="000000"/>
          <w:sz w:val="26"/>
          <w:szCs w:val="26"/>
          <w:shd w:fill="auto" w:val="clear"/>
          <w:lang w:val="ru-RU" w:eastAsia="ar-SA" w:bidi="ar-SA"/>
        </w:rPr>
        <w:t>3. Назначить проведение собрания участ</w:t>
      </w:r>
      <w:r>
        <w:rPr>
          <w:rFonts w:cs="Times New Roman"/>
          <w:sz w:val="26"/>
          <w:szCs w:val="26"/>
          <w:shd w:fill="auto" w:val="clear"/>
        </w:rPr>
        <w:t>ников публичных слушаний                           на 6 августа 2024 года в период с 15-00 до 15-45 часов по адресу:                              Российская Федерация, Костромская область, городской округ город Кострома, город Кострома, площадь Конституции, 2, 3 этаж, кабинет 306 (кабинет главного архитектора).</w:t>
      </w:r>
      <w:r>
        <w:rPr>
          <w:rFonts w:eastAsia="Times New Roman" w:cs="Times New Roman"/>
          <w:color w:val="000000"/>
          <w:sz w:val="26"/>
          <w:szCs w:val="26"/>
          <w:shd w:fill="auto" w:val="clear"/>
          <w:lang w:val="ru-RU" w:eastAsia="ar-SA" w:bidi="ar-SA"/>
          <w14:ligatures w14:val="none"/>
        </w:rPr>
        <w:t xml:space="preserve"> </w:t>
      </w:r>
    </w:p>
    <w:p>
      <w:pPr>
        <w:pStyle w:val="Normal"/>
        <w:tabs>
          <w:tab w:val="clear" w:pos="708"/>
          <w:tab w:val="left" w:pos="900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4. Утвердить прилагаемые:</w:t>
      </w:r>
    </w:p>
    <w:p>
      <w:pPr>
        <w:pStyle w:val="Normal"/>
        <w:tabs>
          <w:tab w:val="clear" w:pos="708"/>
          <w:tab w:val="left" w:pos="900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1) повестку собрания участников публичных слушаний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</w:rPr>
        <w:t xml:space="preserve">по проектам постановлений Администрации города Костромы о предоставлении разрешений на отклонение от предельных параметров разрешенного строительства, реконструкции объектов капитального строительства на земельных участках, имеющих местоположение в городе Костроме: проспект Речной, д. 64/1, с кадастровым номером 44:27:020312:1, улица Профсоюзная, д 34б, с кадастровым номером 44:27:070408:82, о предоставлении разрешений на условно разрешенный вид использования земельных участков или объектов капитального строительства, имеющих местоположение в городе Костроме: улица Волжская 2-я, д 8, с кадастровым номером 44:27:070109:610, территория ГСК 191, бокс 52, с кадастровым номером 44:27:040732:710                 </w:t>
      </w:r>
      <w:r>
        <w:rPr>
          <w:rFonts w:cs="Times New Roman" w:ascii="Times New Roman" w:hAnsi="Times New Roman"/>
          <w:sz w:val="26"/>
          <w:szCs w:val="26"/>
          <w:shd w:fill="auto" w:val="clear"/>
          <w:lang w:val="ru-RU"/>
        </w:rPr>
        <w:t xml:space="preserve">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(приложение 1);</w:t>
      </w:r>
    </w:p>
    <w:p>
      <w:pPr>
        <w:pStyle w:val="Normal"/>
        <w:tabs>
          <w:tab w:val="clear" w:pos="708"/>
          <w:tab w:val="left" w:pos="900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</w:rPr>
        <w:t>2)  оповещение о начале публичных слушаний (приложение 2).</w:t>
      </w:r>
    </w:p>
    <w:p>
      <w:pPr>
        <w:pStyle w:val="Normal"/>
        <w:tabs>
          <w:tab w:val="clear" w:pos="708"/>
          <w:tab w:val="left" w:pos="900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5. Опубликовать настоящее постановление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>19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 июля 2024 года в порядке, установленном для официального опубликования муниципальных правовых актов города Костромы, иной официальной информации, и разместить на официальном сайте Думы города Костромы в информационно-телекоммуникационной сети «Интернет».</w:t>
      </w:r>
    </w:p>
    <w:p>
      <w:pPr>
        <w:pStyle w:val="Normal"/>
        <w:tabs>
          <w:tab w:val="clear" w:pos="708"/>
          <w:tab w:val="left" w:pos="900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6. С 29 июля 2024 года разместить на официальном сайте Администрации  города Костромы в информационно-телекоммуникационной сети «Интернет» прилагаемые:</w:t>
      </w:r>
    </w:p>
    <w:p>
      <w:pPr>
        <w:pStyle w:val="Normal"/>
        <w:tabs>
          <w:tab w:val="clear" w:pos="708"/>
          <w:tab w:val="left" w:pos="900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1) проект постановления Администрации города Костромы «О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земельного участка</w:t>
      </w:r>
      <w:r>
        <w:rPr>
          <w:rFonts w:eastAsia="Times New Roman" w:cs="Times New Roman" w:ascii="Times New Roman" w:hAnsi="Times New Roman"/>
          <w:color w:val="000000"/>
          <w:sz w:val="26"/>
          <w:szCs w:val="24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</w:rPr>
        <w:t>с кадастровым номером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zh-CN" w:bidi="ar-SA"/>
        </w:rPr>
        <w:t xml:space="preserve"> 44:27:020312:1, имеющего местоположение: Костромская область, город Кострома, проспект Речной, д. 64/1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ru-RU"/>
        </w:rPr>
        <w:t>»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 (приложение 3);</w:t>
      </w:r>
    </w:p>
    <w:p>
      <w:pPr>
        <w:pStyle w:val="Normal"/>
        <w:tabs>
          <w:tab w:val="clear" w:pos="708"/>
          <w:tab w:val="left" w:pos="900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2) проект постановления Администрации города Костромы «О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 земельного участка</w:t>
      </w:r>
      <w:r>
        <w:rPr>
          <w:rFonts w:eastAsia="Times New Roman" w:cs="Times New Roman" w:ascii="Times New Roman" w:hAnsi="Times New Roman"/>
          <w:color w:val="000000"/>
          <w:sz w:val="26"/>
          <w:szCs w:val="24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</w:rPr>
        <w:t>с кадастровым номером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zh-CN" w:bidi="ar-SA"/>
        </w:rPr>
        <w:t xml:space="preserve"> 44:27:070408:82, имеющего местоположение: Костромская область, город Кострома, улица Профсоюзная, д 34б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ru-RU"/>
        </w:rPr>
        <w:t>»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 (приложение 4);</w:t>
      </w:r>
    </w:p>
    <w:p>
      <w:pPr>
        <w:pStyle w:val="Normal"/>
        <w:tabs>
          <w:tab w:val="clear" w:pos="708"/>
          <w:tab w:val="left" w:pos="900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3) проект постановления Администрации города Костромы «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/>
        </w:rPr>
        <w:t xml:space="preserve">О предоставлении разрешения на условно разрешенный вид использования земельного участка </w:t>
      </w:r>
      <w:r>
        <w:rPr>
          <w:rFonts w:eastAsia="Times New Roman" w:cs="Times New Roman" w:ascii="Times New Roman" w:hAnsi="Times New Roman"/>
          <w:color w:val="000000"/>
          <w:sz w:val="26"/>
          <w:szCs w:val="24"/>
          <w:shd w:fill="auto" w:val="clear"/>
          <w:lang w:val="ru-RU" w:eastAsia="ru-RU" w:bidi="ar-SA"/>
        </w:rPr>
        <w:t xml:space="preserve">или объекта капитального строительства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/>
        </w:rPr>
        <w:t>с кадастровым номером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zh-CN" w:bidi="ar-SA"/>
        </w:rPr>
        <w:t xml:space="preserve"> 44:27:070109:610, имеющего местоположение: Костромская область, город Кострома, улица Волжская      2-я, д 8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ru-RU"/>
        </w:rPr>
        <w:t>»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 (приложение 5);</w:t>
      </w:r>
    </w:p>
    <w:p>
      <w:pPr>
        <w:pStyle w:val="Normal"/>
        <w:tabs>
          <w:tab w:val="clear" w:pos="708"/>
          <w:tab w:val="left" w:pos="900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4) проект постановления Администрации города Костромы «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/>
        </w:rPr>
        <w:t xml:space="preserve">О предоставлении разрешения на условно разрешенный вид использования земельного участка </w:t>
      </w:r>
      <w:r>
        <w:rPr>
          <w:rFonts w:eastAsia="Times New Roman" w:cs="Times New Roman" w:ascii="Times New Roman" w:hAnsi="Times New Roman"/>
          <w:color w:val="000000"/>
          <w:sz w:val="26"/>
          <w:szCs w:val="24"/>
          <w:shd w:fill="auto" w:val="clear"/>
          <w:lang w:val="ru-RU" w:eastAsia="ru-RU" w:bidi="ar-SA"/>
        </w:rPr>
        <w:t xml:space="preserve">или объекта капитального строительства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/>
        </w:rPr>
        <w:t>с кадастровым номером 44:27:040732:710, имеющего местоположение: Костромская область, город Кострома, территория ГСК 191, бокс 52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ru-RU"/>
        </w:rPr>
        <w:t>»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 (приложение 6).</w:t>
      </w:r>
    </w:p>
    <w:p>
      <w:pPr>
        <w:pStyle w:val="Normal"/>
        <w:tabs>
          <w:tab w:val="clear" w:pos="708"/>
          <w:tab w:val="left" w:pos="900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7. Не позднее 29 июля 2024 года разместить и до 6 августа 2024 года распространять оповещение о начале публичных слушаний на информационных стендах, находящихся в муниципальной собственности.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8. Настоящее постановление вступает в силу со дня его подписания и подлежит официальному опубликованию.</w:t>
      </w:r>
    </w:p>
    <w:p>
      <w:pPr>
        <w:pStyle w:val="Normal"/>
        <w:rPr>
          <w:highlight w:val="none"/>
          <w:shd w:fill="auto" w:val="clear"/>
          <w:lang w:eastAsia="ru-RU"/>
        </w:rPr>
      </w:pPr>
      <w:r>
        <w:rPr>
          <w:shd w:fill="auto" w:val="clear"/>
          <w:lang w:eastAsia="ru-RU"/>
        </w:rPr>
      </w:r>
    </w:p>
    <w:p>
      <w:pPr>
        <w:pStyle w:val="Normal"/>
        <w:rPr>
          <w:highlight w:val="none"/>
          <w:shd w:fill="auto" w:val="clear"/>
          <w:lang w:eastAsia="ru-RU"/>
        </w:rPr>
      </w:pPr>
      <w:r>
        <w:rPr>
          <w:shd w:fill="auto" w:val="clear"/>
          <w:lang w:eastAsia="ru-RU"/>
        </w:rPr>
      </w:r>
    </w:p>
    <w:p>
      <w:pPr>
        <w:pStyle w:val="Normal"/>
        <w:rPr>
          <w:highlight w:val="none"/>
          <w:shd w:fill="auto" w:val="clear"/>
          <w:lang w:eastAsia="ru-RU"/>
        </w:rPr>
      </w:pPr>
      <w:r>
        <w:rPr>
          <w:shd w:fill="auto" w:val="clear"/>
          <w:lang w:eastAsia="ru-RU"/>
        </w:rPr>
      </w:r>
    </w:p>
    <w:p>
      <w:pPr>
        <w:pStyle w:val="Style27"/>
        <w:spacing w:before="0" w:after="0"/>
        <w:rPr>
          <w:highlight w:val="none"/>
          <w:shd w:fill="auto" w:val="clear"/>
        </w:rPr>
      </w:pPr>
      <w:r>
        <w:rPr>
          <w:rFonts w:cs="DejaVu Sans" w:cstheme="minorBidi"/>
          <w:shd w:fill="auto" w:val="clear"/>
        </w:rPr>
        <w:t>Глава города Костромы Ю. В. Журин</w:t>
        <w:br/>
      </w:r>
    </w:p>
    <w:p>
      <w:pPr>
        <w:pStyle w:val="Style27"/>
        <w:spacing w:before="0" w:after="0"/>
        <w:rPr>
          <w:highlight w:val="none"/>
          <w:shd w:fill="auto" w:val="clear"/>
        </w:rPr>
      </w:pPr>
      <w:r>
        <w:rPr>
          <w:rFonts w:cs="DejaVu Sans" w:cstheme="minorBidi"/>
          <w:shd w:fill="auto" w:val="clear"/>
        </w:rPr>
        <w:t>"___" _________ 2024 года</w:t>
      </w:r>
      <w:r>
        <w:rPr>
          <w:rFonts w:cs="DejaVu Sans" w:cstheme="minorBidi"/>
          <w:i/>
          <w:szCs w:val="31"/>
          <w:shd w:fill="auto" w:val="clear"/>
        </w:rPr>
        <w:t xml:space="preserve">   </w:t>
      </w:r>
    </w:p>
    <w:p>
      <w:pPr>
        <w:pStyle w:val="Normal"/>
        <w:rPr>
          <w:rFonts w:cs="DejaVu Sans" w:cstheme="minorBidi"/>
          <w:i/>
          <w:i/>
          <w:szCs w:val="31"/>
          <w:highlight w:val="none"/>
          <w:shd w:fill="auto" w:val="clear"/>
        </w:rPr>
      </w:pPr>
      <w:r>
        <w:rPr>
          <w:rFonts w:cs="DejaVu Sans" w:cstheme="minorBidi"/>
          <w:i/>
          <w:szCs w:val="31"/>
          <w:shd w:fill="auto" w:val="clear"/>
        </w:rPr>
      </w:r>
    </w:p>
    <w:sectPr>
      <w:type w:val="nextPage"/>
      <w:pgSz w:w="11906" w:h="16838"/>
      <w:pgMar w:left="1701" w:right="506" w:gutter="0" w:header="0" w:top="300" w:footer="0" w:bottom="842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DejaVu Sans" w:cstheme="minorBidi"/>
      <w:color w:val="auto"/>
      <w:kern w:val="0"/>
      <w:sz w:val="18"/>
      <w:szCs w:val="18"/>
      <w:lang w:val="ru-RU" w:eastAsia="ar-SA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qFormat/>
    <w:pPr>
      <w:keepNext w:val="true"/>
      <w:numPr>
        <w:ilvl w:val="4"/>
        <w:numId w:val="1"/>
      </w:numPr>
      <w:ind w:left="0" w:hanging="0"/>
      <w:jc w:val="center"/>
      <w:outlineLvl w:val="4"/>
    </w:pPr>
    <w:rPr>
      <w:b/>
      <w:sz w:val="32"/>
      <w:lang w:val="en-US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1" w:customStyle="1">
    <w:name w:val="Заголовок 5 Знак"/>
    <w:basedOn w:val="DefaultParagraphFont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Style9" w:customStyle="1">
    <w:name w:val="Верхний колонтитул Знак"/>
    <w:basedOn w:val="DefaultParagraphFont"/>
    <w:semiHidden/>
    <w:qFormat/>
    <w:rPr>
      <w:rFonts w:ascii="Arial" w:hAnsi="Arial" w:eastAsia="Times New Roman" w:cs="Arial"/>
      <w:sz w:val="18"/>
      <w:szCs w:val="18"/>
      <w:lang w:eastAsia="ar-SA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yle11" w:customStyle="1">
    <w:name w:val="Нижний колонтитул Знак"/>
    <w:basedOn w:val="DefaultParagraphFont"/>
    <w:uiPriority w:val="99"/>
    <w:qFormat/>
    <w:rPr>
      <w:rFonts w:ascii="Arial" w:hAnsi="Arial" w:eastAsia="Times New Roman" w:cs="Arial"/>
      <w:sz w:val="18"/>
      <w:szCs w:val="18"/>
      <w:lang w:eastAsia="ar-SA"/>
    </w:rPr>
  </w:style>
  <w:style w:type="character" w:styleId="11">
    <w:name w:val="Основной шрифт абзаца1"/>
    <w:qFormat/>
    <w:rPr/>
  </w:style>
  <w:style w:type="character" w:styleId="Style12">
    <w:name w:val="Основной шрифт абзаца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8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9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3"/>
    <w:pPr/>
    <w:rPr/>
  </w:style>
  <w:style w:type="paragraph" w:styleId="Style23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semiHidden/>
    <w:pPr/>
    <w:rPr/>
  </w:style>
  <w:style w:type="paragraph" w:styleId="Style26" w:customStyle="1">
    <w:name w:val="Стопслово"/>
    <w:basedOn w:val="Normal"/>
    <w:qFormat/>
    <w:pPr>
      <w:widowControl/>
      <w:spacing w:before="240" w:after="240"/>
      <w:ind w:firstLine="709"/>
    </w:pPr>
    <w:rPr>
      <w:rFonts w:ascii="Times New Roman" w:hAnsi="Times New Roman" w:cs="Times New Roman"/>
      <w:spacing w:val="60"/>
      <w:sz w:val="26"/>
      <w:szCs w:val="26"/>
      <w:lang w:eastAsia="ru-RU"/>
    </w:rPr>
  </w:style>
  <w:style w:type="paragraph" w:styleId="Style27" w:customStyle="1">
    <w:name w:val="Подпись_гл"/>
    <w:basedOn w:val="Normal"/>
    <w:qFormat/>
    <w:pPr>
      <w:widowControl/>
      <w:tabs>
        <w:tab w:val="clear" w:pos="708"/>
        <w:tab w:val="left" w:pos="7371" w:leader="none"/>
      </w:tabs>
      <w:spacing w:before="920" w:after="0"/>
      <w:jc w:val="both"/>
    </w:pPr>
    <w:rPr>
      <w:rFonts w:ascii="Times New Roman" w:hAnsi="Times New Roman" w:cs="Times New Roman"/>
      <w:sz w:val="26"/>
      <w:szCs w:val="24"/>
      <w:lang w:eastAsia="ru-RU"/>
    </w:rPr>
  </w:style>
  <w:style w:type="paragraph" w:styleId="Style28" w:customStyle="1">
    <w:name w:val="Решение"/>
    <w:basedOn w:val="Normal"/>
    <w:qFormat/>
    <w:pPr>
      <w:widowControl/>
      <w:ind w:firstLine="709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 w:cs="Segoe U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29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1">
    <w:name w:val="Содержимое врезки"/>
    <w:basedOn w:val="Style14"/>
    <w:qFormat/>
    <w:pPr/>
    <w:rPr/>
  </w:style>
  <w:style w:type="paragraph" w:styleId="Style32">
    <w:name w:val="Содержимое таблицы"/>
    <w:basedOn w:val="Normal"/>
    <w:qFormat/>
    <w:pPr>
      <w:widowControl w:val="false"/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  <w:style w:type="paragraph" w:styleId="13">
    <w:name w:val="Указатель1"/>
    <w:basedOn w:val="Normal"/>
    <w:qFormat/>
    <w:pPr>
      <w:suppressLineNumbers/>
    </w:pPr>
    <w:rPr>
      <w:rFonts w:ascii="Arial" w:hAnsi="Arial" w:cs="Tahoma"/>
    </w:rPr>
  </w:style>
  <w:style w:type="paragraph" w:styleId="14">
    <w:name w:val="Название1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styleId="658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9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0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61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62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663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64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5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6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6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6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6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7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7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72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3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C3FDBA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4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5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6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7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8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9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0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C3FDBA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C3FDBA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1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2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3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4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5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6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687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5FDBC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C5FDBC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1EBE03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688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36B8FB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689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43C03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690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DC33FA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691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C99C00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692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C9211E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693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69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79FB64" w:themeFill="accent1" w:themeFillTint="75"/>
      </w:tcPr>
    </w:tblStylePr>
    <w:tblStylePr w:type="band1Vert">
      <w:tblPr/>
      <w:tcPr>
        <w:shd w:val="clear" w:color="FFFFFF" w:fill="79FB64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18A303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18A303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18A303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18A303" w:themeFill="accent1"/>
      </w:tcPr>
    </w:tblStylePr>
  </w:style>
  <w:style w:type="table" w:styleId="69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64C8FB" w:themeFill="accent2" w:themeFillTint="75"/>
      </w:tcPr>
    </w:tblStylePr>
    <w:tblStylePr w:type="band1Vert">
      <w:tblPr/>
      <w:tcPr>
        <w:shd w:val="clear" w:color="FFFFFF" w:fill="64C8FB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369A3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0369A3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0369A3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369A3" w:themeFill="accent2"/>
      </w:tcPr>
    </w:tblStylePr>
  </w:style>
  <w:style w:type="table" w:styleId="69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9964" w:themeFill="accent3" w:themeFillTint="75"/>
      </w:tcPr>
    </w:tblStylePr>
    <w:tblStylePr w:type="band1Vert">
      <w:tblPr/>
      <w:tcPr>
        <w:shd w:val="clear" w:color="FFFFFF" w:fill="FB9964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33E03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33E03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33E03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33E03" w:themeFill="accent3"/>
      </w:tcPr>
    </w:tblStylePr>
  </w:style>
  <w:style w:type="table" w:styleId="69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464FB" w:themeFill="accent4" w:themeFillTint="75"/>
      </w:tcPr>
    </w:tblStylePr>
    <w:tblStylePr w:type="band1Vert">
      <w:tblPr/>
      <w:tcPr>
        <w:shd w:val="clear" w:color="FFFFFF" w:fill="E464FB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8E03A3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8E03A3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E03A3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8E03A3" w:themeFill="accent4"/>
      </w:tcPr>
    </w:tblStylePr>
  </w:style>
  <w:style w:type="table" w:styleId="69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FDB71" w:themeFill="accent5" w:themeFillTint="75"/>
      </w:tcPr>
    </w:tblStylePr>
    <w:tblStylePr w:type="band1Vert">
      <w:tblPr/>
      <w:tcPr>
        <w:shd w:val="clear" w:color="FFFFFF" w:fill="FFDB71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C99C00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C99C00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C99C00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C99C00" w:themeFill="accent5"/>
      </w:tcPr>
    </w:tblStylePr>
  </w:style>
  <w:style w:type="table" w:styleId="69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E8F8F" w:themeFill="accent6" w:themeFillTint="75"/>
      </w:tcPr>
    </w:tblStylePr>
    <w:tblStylePr w:type="band1Vert">
      <w:tblPr/>
      <w:tcPr>
        <w:shd w:val="clear" w:color="FFFFFF" w:fill="EE8F8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C9211E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C9211E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C9211E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C9211E" w:themeFill="accent6"/>
      </w:tcPr>
    </w:tblStylePr>
  </w:style>
  <w:style w:type="table" w:styleId="700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0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C3FDBA" w:themeFill="accent1" w:themeFillTint="34"/>
      </w:tcPr>
    </w:tblStylePr>
    <w:tblStylePr w:type="band1Vert">
      <w:tblPr/>
      <w:tcPr>
        <w:shd w:val="clear" w:color="FFFFFF" w:fill="C3FDBA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1EBF04" w:themeColor="accent1" w:themeTint="80" w:themeShade="95"/>
      </w:rPr>
      <w:tblPr/>
    </w:tblStylePr>
    <w:tblStylePr w:type="firstRow">
      <w:rPr>
        <w:b/>
        <w:color w:val="1EBF04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1EBF04" w:themeColor="accent1" w:themeTint="80" w:themeShade="95"/>
      </w:rPr>
      <w:tblPr/>
    </w:tblStylePr>
    <w:tblStylePr w:type="lastRow">
      <w:rPr>
        <w:b/>
        <w:color w:val="1EBF04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0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BCE7FD" w:themeFill="accent2" w:themeFillTint="32"/>
      </w:tcPr>
    </w:tblStylePr>
    <w:tblStylePr w:type="band1Vert">
      <w:tblPr/>
      <w:tcPr>
        <w:shd w:val="clear" w:color="FFFFFF" w:fill="BCE7FD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0378AE" w:themeColor="accent2" w:themeTint="97" w:themeShade="95"/>
      </w:rPr>
      <w:tblPr/>
    </w:tblStylePr>
    <w:tblStylePr w:type="firstRow">
      <w:rPr>
        <w:b/>
        <w:color w:val="0378AE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0378AE" w:themeColor="accent2" w:themeTint="97" w:themeShade="95"/>
      </w:rPr>
      <w:tblPr/>
    </w:tblStylePr>
    <w:tblStylePr w:type="lastRow">
      <w:rPr>
        <w:b/>
        <w:color w:val="0378AE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0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DD2BA" w:themeFill="accent3" w:themeFillTint="34"/>
      </w:tcPr>
    </w:tblStylePr>
    <w:tblStylePr w:type="band1Vert">
      <w:tblPr/>
      <w:tcPr>
        <w:shd w:val="clear" w:color="FFFFFF" w:fill="FDD2BA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E2201" w:themeColor="accent3" w:themeTint="fe" w:themeShade="95"/>
      </w:rPr>
      <w:tblPr/>
    </w:tblStylePr>
    <w:tblStylePr w:type="firstRow">
      <w:rPr>
        <w:b/>
        <w:color w:val="5E2201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E2201" w:themeColor="accent3" w:themeTint="fe" w:themeShade="95"/>
      </w:rPr>
      <w:tblPr/>
    </w:tblStylePr>
    <w:tblStylePr w:type="lastRow">
      <w:rPr>
        <w:b/>
        <w:color w:val="5E2201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0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3BAFD" w:themeFill="accent4" w:themeFillTint="34"/>
      </w:tcPr>
    </w:tblStylePr>
    <w:tblStylePr w:type="band1Vert">
      <w:tblPr/>
      <w:tcPr>
        <w:shd w:val="clear" w:color="FFFFFF" w:fill="F3BAFD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9104AB" w:themeColor="accent4" w:themeTint="9a" w:themeShade="95"/>
      </w:rPr>
      <w:tblPr/>
    </w:tblStylePr>
    <w:tblStylePr w:type="firstRow">
      <w:rPr>
        <w:b/>
        <w:color w:val="9104AB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9104AB" w:themeColor="accent4" w:themeTint="9a" w:themeShade="95"/>
      </w:rPr>
      <w:tblPr/>
    </w:tblStylePr>
    <w:tblStylePr w:type="lastRow">
      <w:rPr>
        <w:b/>
        <w:color w:val="9104AB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0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EFBF" w:themeFill="accent5" w:themeFillTint="34"/>
      </w:tcPr>
    </w:tblStylePr>
    <w:tblStylePr w:type="band1Vert">
      <w:tblPr/>
      <w:tcPr>
        <w:shd w:val="clear" w:color="FFFFFF" w:fill="FFEFB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745700" w:themeColor="accent5" w:themeShade="95"/>
      </w:rPr>
      <w:tblPr/>
    </w:tblStylePr>
    <w:tblStylePr w:type="firstRow">
      <w:rPr>
        <w:b/>
        <w:color w:val="745700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  <w:tblPr/>
    </w:tblStylePr>
    <w:tblStylePr w:type="lastRow">
      <w:rPr>
        <w:b/>
        <w:color w:val="745700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0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7CCCC" w:themeFill="accent6" w:themeFillTint="34"/>
      </w:tcPr>
    </w:tblStylePr>
    <w:tblStylePr w:type="band1Vert">
      <w:tblPr/>
      <w:tcPr>
        <w:shd w:val="clear" w:color="FFFFFF" w:fill="F7CCCC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745700" w:themeColor="accent5" w:themeShade="95"/>
      </w:rPr>
      <w:tblPr/>
    </w:tblStylePr>
    <w:tblStylePr w:type="firstRow">
      <w:rPr>
        <w:b/>
        <w:color w:val="745700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  <w:tblPr/>
    </w:tblStylePr>
    <w:tblStylePr w:type="lastRow">
      <w:rPr>
        <w:b/>
        <w:color w:val="745700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07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0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1EBF04" w:themeColor="accent1" w:themeTint="80" w:themeShade="95"/>
        <w:sz w:val="22"/>
      </w:rPr>
      <w:tblPr/>
      <w:tcPr>
        <w:shd w:val="clear" w:color="FFFFFF" w:fill="C3FDBA" w:themeFill="accent1" w:themeFillTint="34"/>
      </w:tcPr>
    </w:tblStylePr>
    <w:tblStylePr w:type="band1Vert">
      <w:tblPr/>
      <w:tcPr>
        <w:shd w:val="clear" w:color="FFFFFF" w:fill="C3FDBA" w:themeFill="accent1" w:themeFillTint="34"/>
      </w:tcPr>
    </w:tblStylePr>
    <w:tblStylePr w:type="band2Horz">
      <w:rPr>
        <w:color w:val="1EBF04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1EBF04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val="1EBF04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1EBF04"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1EBF04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0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blPr/>
      <w:tcPr>
        <w:shd w:val="clear" w:color="FFFFFF" w:fill="BCE7FD" w:themeFill="accent2" w:themeFillTint="32"/>
      </w:tcPr>
    </w:tblStylePr>
    <w:tblStylePr w:type="band1Vert">
      <w:tblPr/>
      <w:tcPr>
        <w:shd w:val="clear" w:color="FFFFFF" w:fill="BCE7FD" w:themeFill="accent2" w:themeFillTint="32"/>
      </w:tcPr>
    </w:tblStylePr>
    <w:tblStylePr w:type="band2Horz">
      <w:rPr>
        <w:color w:val="0378AE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0378AE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val="0378AE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0378AE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0378AE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1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E2201" w:themeColor="accent3" w:themeTint="fe" w:themeShade="95"/>
        <w:sz w:val="22"/>
      </w:rPr>
      <w:tblPr/>
      <w:tcPr>
        <w:shd w:val="clear" w:color="FFFFFF" w:fill="FDD2BA" w:themeFill="accent3" w:themeFillTint="34"/>
      </w:tcPr>
    </w:tblStylePr>
    <w:tblStylePr w:type="band1Vert">
      <w:tblPr/>
      <w:tcPr>
        <w:shd w:val="clear" w:color="FFFFFF" w:fill="FDD2BA" w:themeFill="accent3" w:themeFillTint="34"/>
      </w:tcPr>
    </w:tblStylePr>
    <w:tblStylePr w:type="band2Horz">
      <w:rPr>
        <w:color w:val="5E2201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E2201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val="5E2201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E2201"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5E2201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1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blPr/>
      <w:tcPr>
        <w:shd w:val="clear" w:color="FFFFFF" w:fill="F3BAFD" w:themeFill="accent4" w:themeFillTint="34"/>
      </w:tcPr>
    </w:tblStylePr>
    <w:tblStylePr w:type="band1Vert">
      <w:tblPr/>
      <w:tcPr>
        <w:shd w:val="clear" w:color="FFFFFF" w:fill="F3BAFD" w:themeFill="accent4" w:themeFillTint="34"/>
      </w:tcPr>
    </w:tblStylePr>
    <w:tblStylePr w:type="band2Horz">
      <w:rPr>
        <w:color w:val="9104AB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9104AB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val="9104AB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104AB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9104AB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1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745700" w:themeColor="accent5" w:themeShade="95"/>
        <w:sz w:val="22"/>
      </w:rPr>
      <w:tblPr/>
      <w:tcPr>
        <w:shd w:val="clear" w:color="FFFFFF" w:fill="FFEFBF" w:themeFill="accent5" w:themeFillTint="34"/>
      </w:tcPr>
    </w:tblStylePr>
    <w:tblStylePr w:type="band1Vert">
      <w:tblPr/>
      <w:tcPr>
        <w:shd w:val="clear" w:color="FFFFFF" w:fill="FFEFBF" w:themeFill="accent5" w:themeFillTint="34"/>
      </w:tcPr>
    </w:tblStylePr>
    <w:tblStylePr w:type="band2Horz">
      <w:rPr>
        <w:color w:val="745700" w:themeColor="accent5" w:themeShade="95"/>
        <w:sz w:val="22"/>
      </w:rPr>
      <w:tblPr/>
    </w:tblStylePr>
    <w:tblStylePr w:type="firstCol">
      <w:pPr>
        <w:jc w:val="right"/>
      </w:pPr>
      <w:rPr>
        <w:i/>
        <w:color w:val="745700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val="745700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45700"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745700"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1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741111" w:themeColor="accent6" w:themeShade="95"/>
        <w:sz w:val="22"/>
      </w:rPr>
      <w:tblPr/>
      <w:tcPr>
        <w:shd w:val="clear" w:color="FFFFFF" w:fill="F7CCCC" w:themeFill="accent6" w:themeFillTint="34"/>
      </w:tcPr>
    </w:tblStylePr>
    <w:tblStylePr w:type="band1Vert">
      <w:tblPr/>
      <w:tcPr>
        <w:shd w:val="clear" w:color="FFFFFF" w:fill="F7CCCC" w:themeFill="accent6" w:themeFillTint="34"/>
      </w:tcPr>
    </w:tblStylePr>
    <w:tblStylePr w:type="band2Horz">
      <w:rPr>
        <w:color w:val="741111" w:themeColor="accent6" w:themeShade="95"/>
        <w:sz w:val="22"/>
      </w:rPr>
      <w:tblPr/>
    </w:tblStylePr>
    <w:tblStylePr w:type="firstCol">
      <w:pPr>
        <w:jc w:val="right"/>
      </w:pPr>
      <w:rPr>
        <w:i/>
        <w:color w:val="741111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val="741111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41111"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741111"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14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6FDAA" w:themeFill="accent1" w:themeFillTint="40"/>
      </w:tcPr>
    </w:tblStylePr>
    <w:tblStylePr w:type="band1Vert">
      <w:tblPr/>
      <w:tcPr>
        <w:shd w:val="clear" w:color="FFFFFF" w:fill="B6FDAA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AAE1FD" w:themeFill="accent2" w:themeFillTint="40"/>
      </w:tcPr>
    </w:tblStylePr>
    <w:tblStylePr w:type="band1Vert">
      <w:tblPr/>
      <w:tcPr>
        <w:shd w:val="clear" w:color="FFFFFF" w:fill="AAE1FD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DC7AA" w:themeFill="accent3" w:themeFillTint="40"/>
      </w:tcPr>
    </w:tblStylePr>
    <w:tblStylePr w:type="band1Vert">
      <w:tblPr/>
      <w:tcPr>
        <w:shd w:val="clear" w:color="FFFFFF" w:fill="FDC7AA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0AAFD" w:themeFill="accent4" w:themeFillTint="40"/>
      </w:tcPr>
    </w:tblStylePr>
    <w:tblStylePr w:type="band1Vert">
      <w:tblPr/>
      <w:tcPr>
        <w:shd w:val="clear" w:color="FFFFFF" w:fill="F0AAFD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BB1" w:themeFill="accent5" w:themeFillTint="40"/>
      </w:tcPr>
    </w:tblStylePr>
    <w:tblStylePr w:type="band1Vert">
      <w:tblPr/>
      <w:tcPr>
        <w:shd w:val="clear" w:color="FFFFFF" w:fill="FFEBB1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5C2C2" w:themeFill="accent6" w:themeFillTint="40"/>
      </w:tcPr>
    </w:tblStylePr>
    <w:tblStylePr w:type="band1Vert">
      <w:tblPr/>
      <w:tcPr>
        <w:shd w:val="clear" w:color="FFFFFF" w:fill="F5C2C2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22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B6FDAA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23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AAE1FD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24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DC7AA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25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0AAFD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26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EBB1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27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5C2C2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28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9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18A303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0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36B8FB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1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A7A35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2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DC33FA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3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042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4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96E6E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5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6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6FDAA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B6FDAA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18A303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7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AAE1FD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AAE1FD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369A3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8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C7AA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DC7AA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33E03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9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0AAFD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0AAFD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03A3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0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BB1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EBB1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9C00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1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5C2C2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5C2C2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211E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2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4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18A303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18A303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18A303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18A303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4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36B8FB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36B8FB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36B8FB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36B8FB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4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7A35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A7A35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A7A35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A7A35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4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C33FA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C33FA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C33FA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DC33FA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4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042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042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042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D042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4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E96E6E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E96E6E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E96E6E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E96E6E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49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5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B6FDAA" w:themeFill="accent1" w:themeFillTint="40"/>
      </w:tcPr>
    </w:tblStylePr>
    <w:tblStylePr w:type="band1Vert">
      <w:tblPr/>
      <w:tcPr>
        <w:shd w:val="clear" w:color="FFFFFF" w:fill="B6FDAA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0E5E01" w:themeColor="accent1" w:themeShade="95"/>
      </w:rPr>
      <w:tblPr/>
    </w:tblStylePr>
    <w:tblStylePr w:type="firstRow">
      <w:rPr>
        <w:b/>
        <w:color w:val="0E5E0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  <w:tblPr/>
    </w:tblStylePr>
    <w:tblStylePr w:type="lastRow">
      <w:rPr>
        <w:b/>
        <w:color w:val="0E5E0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5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AAE1FD" w:themeFill="accent2" w:themeFillTint="40"/>
      </w:tcPr>
    </w:tblStylePr>
    <w:tblStylePr w:type="band1Vert">
      <w:tblPr/>
      <w:tcPr>
        <w:shd w:val="clear" w:color="FFFFFF" w:fill="AAE1FD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0378AE" w:themeColor="accent2" w:themeTint="97" w:themeShade="95"/>
      </w:rPr>
      <w:tblPr/>
    </w:tblStylePr>
    <w:tblStylePr w:type="firstRow">
      <w:rPr>
        <w:b/>
        <w:color w:val="0378AE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0378AE" w:themeColor="accent2" w:themeTint="97" w:themeShade="95"/>
      </w:rPr>
      <w:tblPr/>
    </w:tblStylePr>
    <w:tblStylePr w:type="lastRow">
      <w:rPr>
        <w:b/>
        <w:color w:val="0378AE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5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DC7AA" w:themeFill="accent3" w:themeFillTint="40"/>
      </w:tcPr>
    </w:tblStylePr>
    <w:tblStylePr w:type="band1Vert">
      <w:tblPr/>
      <w:tcPr>
        <w:shd w:val="clear" w:color="FFFFFF" w:fill="FDC7AA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AB3B04" w:themeColor="accent3" w:themeTint="98" w:themeShade="95"/>
      </w:rPr>
      <w:tblPr/>
    </w:tblStylePr>
    <w:tblStylePr w:type="firstRow">
      <w:rPr>
        <w:b/>
        <w:color w:val="AB3B04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AB3B04" w:themeColor="accent3" w:themeTint="98" w:themeShade="95"/>
      </w:rPr>
      <w:tblPr/>
    </w:tblStylePr>
    <w:tblStylePr w:type="lastRow">
      <w:rPr>
        <w:b/>
        <w:color w:val="AB3B04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5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0AAFD" w:themeFill="accent4" w:themeFillTint="40"/>
      </w:tcPr>
    </w:tblStylePr>
    <w:tblStylePr w:type="band1Vert">
      <w:tblPr/>
      <w:tcPr>
        <w:shd w:val="clear" w:color="FFFFFF" w:fill="F0AAFD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9104AB" w:themeColor="accent4" w:themeTint="9a" w:themeShade="95"/>
      </w:rPr>
      <w:tblPr/>
    </w:tblStylePr>
    <w:tblStylePr w:type="firstRow">
      <w:rPr>
        <w:b/>
        <w:color w:val="9104AB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9104AB" w:themeColor="accent4" w:themeTint="9a" w:themeShade="95"/>
      </w:rPr>
      <w:tblPr/>
    </w:tblStylePr>
    <w:tblStylePr w:type="lastRow">
      <w:rPr>
        <w:b/>
        <w:color w:val="9104AB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5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EBB1" w:themeFill="accent5" w:themeFillTint="40"/>
      </w:tcPr>
    </w:tblStylePr>
    <w:tblStylePr w:type="band1Vert">
      <w:tblPr/>
      <w:tcPr>
        <w:shd w:val="clear" w:color="FFFFFF" w:fill="FFEBB1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BA8700" w:themeColor="accent5" w:themeTint="9a" w:themeShade="95"/>
      </w:rPr>
      <w:tblPr/>
    </w:tblStylePr>
    <w:tblStylePr w:type="firstRow">
      <w:rPr>
        <w:b/>
        <w:color w:val="BA870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BA8700" w:themeColor="accent5" w:themeTint="9a" w:themeShade="95"/>
      </w:rPr>
      <w:tblPr/>
    </w:tblStylePr>
    <w:tblStylePr w:type="lastRow">
      <w:rPr>
        <w:b/>
        <w:color w:val="BA870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5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5C2C2" w:themeFill="accent6" w:themeFillTint="40"/>
      </w:tcPr>
    </w:tblStylePr>
    <w:tblStylePr w:type="band1Vert">
      <w:tblPr/>
      <w:tcPr>
        <w:shd w:val="clear" w:color="FFFFFF" w:fill="F5C2C2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AD1A1A" w:themeColor="accent6" w:themeTint="98" w:themeShade="95"/>
      </w:rPr>
      <w:tblPr/>
    </w:tblStylePr>
    <w:tblStylePr w:type="firstRow">
      <w:rPr>
        <w:b/>
        <w:color w:val="AD1A1A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AD1A1A" w:themeColor="accent6" w:themeTint="98" w:themeShade="95"/>
      </w:rPr>
      <w:tblPr/>
    </w:tblStylePr>
    <w:tblStylePr w:type="lastRow">
      <w:rPr>
        <w:b/>
        <w:color w:val="AD1A1A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56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75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0E5E01" w:themeColor="accent1" w:themeShade="95"/>
        <w:sz w:val="22"/>
      </w:rPr>
      <w:tblPr/>
      <w:tcPr>
        <w:shd w:val="clear" w:color="FFFFFF" w:fill="B6FDAA" w:themeFill="accent1" w:themeFillTint="40"/>
      </w:tcPr>
    </w:tblStylePr>
    <w:tblStylePr w:type="band1Vert">
      <w:tblPr/>
      <w:tcPr>
        <w:shd w:val="clear" w:color="FFFFFF" w:fill="B6FDAA" w:themeFill="accent1" w:themeFillTint="40"/>
      </w:tcPr>
    </w:tblStylePr>
    <w:tblStylePr w:type="band2Horz">
      <w:rPr>
        <w:color w:val="0E5E01" w:themeColor="accent1" w:themeShade="95"/>
        <w:sz w:val="22"/>
      </w:rPr>
      <w:tblPr/>
    </w:tblStylePr>
    <w:tblStylePr w:type="firstCol">
      <w:pPr>
        <w:jc w:val="right"/>
      </w:pPr>
      <w:rPr>
        <w:i/>
        <w:color w:val="0E5E0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val="0E5E0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0E5E01"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0E5E01"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0E5E01" w:themeColor="accent1" w:themeShade="95"/>
        <w:sz w:val="22"/>
      </w:rPr>
      <w:tblPr/>
    </w:tblStylePr>
  </w:style>
  <w:style w:type="table" w:styleId="75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0378AE" w:themeColor="accent2" w:themeTint="97" w:themeShade="95"/>
        <w:sz w:val="22"/>
      </w:rPr>
      <w:tblPr/>
      <w:tcPr>
        <w:shd w:val="clear" w:color="FFFFFF" w:fill="AAE1FD" w:themeFill="accent2" w:themeFillTint="40"/>
      </w:tcPr>
    </w:tblStylePr>
    <w:tblStylePr w:type="band1Vert">
      <w:tblPr/>
      <w:tcPr>
        <w:shd w:val="clear" w:color="FFFFFF" w:fill="AAE1FD" w:themeFill="accent2" w:themeFillTint="40"/>
      </w:tcPr>
    </w:tblStylePr>
    <w:tblStylePr w:type="band2Horz">
      <w:rPr>
        <w:color w:val="0378AE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0378AE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val="0378AE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0378AE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0378AE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0378AE" w:themeColor="accent2" w:themeTint="97" w:themeShade="95"/>
        <w:sz w:val="22"/>
      </w:rPr>
      <w:tblPr/>
    </w:tblStylePr>
  </w:style>
  <w:style w:type="table" w:styleId="75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AB3B04" w:themeColor="accent3" w:themeTint="98" w:themeShade="95"/>
        <w:sz w:val="22"/>
      </w:rPr>
      <w:tblPr/>
      <w:tcPr>
        <w:shd w:val="clear" w:color="FFFFFF" w:fill="FDC7AA" w:themeFill="accent3" w:themeFillTint="40"/>
      </w:tcPr>
    </w:tblStylePr>
    <w:tblStylePr w:type="band1Vert">
      <w:tblPr/>
      <w:tcPr>
        <w:shd w:val="clear" w:color="FFFFFF" w:fill="FDC7AA" w:themeFill="accent3" w:themeFillTint="40"/>
      </w:tcPr>
    </w:tblStylePr>
    <w:tblStylePr w:type="band2Horz">
      <w:rPr>
        <w:color w:val="AB3B04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AB3B04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val="AB3B04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B3B04"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AB3B04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AB3B04" w:themeColor="accent3" w:themeTint="98" w:themeShade="95"/>
        <w:sz w:val="22"/>
      </w:rPr>
      <w:tblPr/>
    </w:tblStylePr>
  </w:style>
  <w:style w:type="table" w:styleId="76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9104AB" w:themeColor="accent4" w:themeTint="9a" w:themeShade="95"/>
        <w:sz w:val="22"/>
      </w:rPr>
      <w:tblPr/>
      <w:tcPr>
        <w:shd w:val="clear" w:color="FFFFFF" w:fill="F0AAFD" w:themeFill="accent4" w:themeFillTint="40"/>
      </w:tcPr>
    </w:tblStylePr>
    <w:tblStylePr w:type="band1Vert">
      <w:tblPr/>
      <w:tcPr>
        <w:shd w:val="clear" w:color="FFFFFF" w:fill="F0AAFD" w:themeFill="accent4" w:themeFillTint="40"/>
      </w:tcPr>
    </w:tblStylePr>
    <w:tblStylePr w:type="band2Horz">
      <w:rPr>
        <w:color w:val="9104AB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9104AB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val="9104AB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104AB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9104AB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9104AB" w:themeColor="accent4" w:themeTint="9a" w:themeShade="95"/>
        <w:sz w:val="22"/>
      </w:rPr>
      <w:tblPr/>
    </w:tblStylePr>
  </w:style>
  <w:style w:type="table" w:styleId="76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BA8700" w:themeColor="accent5" w:themeTint="9a" w:themeShade="95"/>
        <w:sz w:val="22"/>
      </w:rPr>
      <w:tblPr/>
      <w:tcPr>
        <w:shd w:val="clear" w:color="FFFFFF" w:fill="FFEBB1" w:themeFill="accent5" w:themeFillTint="40"/>
      </w:tcPr>
    </w:tblStylePr>
    <w:tblStylePr w:type="band1Vert">
      <w:tblPr/>
      <w:tcPr>
        <w:shd w:val="clear" w:color="FFFFFF" w:fill="FFEBB1" w:themeFill="accent5" w:themeFillTint="40"/>
      </w:tcPr>
    </w:tblStylePr>
    <w:tblStylePr w:type="band2Horz">
      <w:rPr>
        <w:color w:val="BA870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BA8700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val="BA8700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A8700"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BA8700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BA8700" w:themeColor="accent5" w:themeTint="9a" w:themeShade="95"/>
        <w:sz w:val="22"/>
      </w:rPr>
      <w:tblPr/>
    </w:tblStylePr>
  </w:style>
  <w:style w:type="table" w:styleId="76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AD1A1A" w:themeColor="accent6" w:themeTint="98" w:themeShade="95"/>
        <w:sz w:val="22"/>
      </w:rPr>
      <w:tblPr/>
      <w:tcPr>
        <w:shd w:val="clear" w:color="FFFFFF" w:fill="F5C2C2" w:themeFill="accent6" w:themeFillTint="40"/>
      </w:tcPr>
    </w:tblStylePr>
    <w:tblStylePr w:type="band1Vert">
      <w:tblPr/>
      <w:tcPr>
        <w:shd w:val="clear" w:color="FFFFFF" w:fill="F5C2C2" w:themeFill="accent6" w:themeFillTint="40"/>
      </w:tcPr>
    </w:tblStylePr>
    <w:tblStylePr w:type="band2Horz">
      <w:rPr>
        <w:color w:val="AD1A1A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AD1A1A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val="AD1A1A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D1A1A"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AD1A1A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AD1A1A" w:themeColor="accent6" w:themeTint="98" w:themeShade="95"/>
        <w:sz w:val="22"/>
      </w:rPr>
      <w:tblPr/>
    </w:tblStylePr>
  </w:style>
  <w:style w:type="table" w:styleId="76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76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1EBE03" w:themeFill="accent1" w:themeFillTint="ea"/>
      </w:tcPr>
    </w:tblStylePr>
  </w:style>
  <w:style w:type="table" w:styleId="76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36B8FB" w:themeFill="accent2" w:themeFillTint="97"/>
      </w:tcPr>
    </w:tblStylePr>
  </w:style>
  <w:style w:type="table" w:styleId="76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43C03" w:themeFill="accent3" w:themeFillTint="fe"/>
      </w:tcPr>
    </w:tblStylePr>
  </w:style>
  <w:style w:type="table" w:styleId="76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DC33FA" w:themeFill="accent4" w:themeFillTint="9a"/>
      </w:tcPr>
    </w:tblStylePr>
  </w:style>
  <w:style w:type="table" w:styleId="76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C99C00" w:themeFill="accent5"/>
      </w:tcPr>
    </w:tblStylePr>
    <w:tblStylePr w:type="firstRow">
      <w:rPr>
        <w:color w:val="F2F2F2"/>
        <w:sz w:val="22"/>
      </w:rPr>
      <w:tblPr/>
      <w:tcPr>
        <w:shd w:val="clear" w:color="FFFFFF" w:fill="C99C00" w:themeFill="accent5"/>
      </w:tcPr>
    </w:tblStylePr>
    <w:tblStylePr w:type="lastCol">
      <w:rPr>
        <w:color w:val="F2F2F2"/>
        <w:sz w:val="22"/>
      </w:rPr>
      <w:tblPr/>
      <w:tcPr>
        <w:shd w:val="clear" w:color="FFFFFF" w:fill="C99C00" w:themeFill="accent5"/>
      </w:tcPr>
    </w:tblStylePr>
    <w:tblStylePr w:type="lastRow">
      <w:rPr>
        <w:color w:val="F2F2F2"/>
        <w:sz w:val="22"/>
      </w:rPr>
      <w:tblPr/>
      <w:tcPr>
        <w:shd w:val="clear" w:color="FFFFFF" w:fill="C99C00" w:themeFill="accent5"/>
      </w:tcPr>
    </w:tblStylePr>
  </w:style>
  <w:style w:type="table" w:styleId="76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C9211E" w:themeFill="accent6"/>
      </w:tcPr>
    </w:tblStylePr>
    <w:tblStylePr w:type="firstRow">
      <w:rPr>
        <w:color w:val="F2F2F2"/>
        <w:sz w:val="22"/>
      </w:rPr>
      <w:tblPr/>
      <w:tcPr>
        <w:shd w:val="clear" w:color="FFFFFF" w:fill="C9211E" w:themeFill="accent6"/>
      </w:tcPr>
    </w:tblStylePr>
    <w:tblStylePr w:type="lastCol">
      <w:rPr>
        <w:color w:val="F2F2F2"/>
        <w:sz w:val="22"/>
      </w:rPr>
      <w:tblPr/>
      <w:tcPr>
        <w:shd w:val="clear" w:color="FFFFFF" w:fill="C9211E" w:themeFill="accent6"/>
      </w:tcPr>
    </w:tblStylePr>
    <w:tblStylePr w:type="lastRow">
      <w:rPr>
        <w:color w:val="F2F2F2"/>
        <w:sz w:val="22"/>
      </w:rPr>
      <w:tblPr/>
      <w:tcPr>
        <w:shd w:val="clear" w:color="FFFFFF" w:fill="C9211E" w:themeFill="accent6"/>
      </w:tcPr>
    </w:tblStylePr>
  </w:style>
  <w:style w:type="table" w:styleId="77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77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A3FC95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A3FC95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1EBE03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1EBE03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1EBE03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1EBE03" w:themeFill="accent1" w:themeFillTint="ea"/>
      </w:tcPr>
    </w:tblStylePr>
  </w:style>
  <w:style w:type="table" w:styleId="77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BCE7FD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36B8FB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36B8FB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36B8FB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36B8FB" w:themeFill="accent2" w:themeFillTint="97"/>
      </w:tcPr>
    </w:tblStylePr>
  </w:style>
  <w:style w:type="table" w:styleId="77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DD2BA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43C03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43C03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43C03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43C03" w:themeFill="accent3" w:themeFillTint="fe"/>
      </w:tcPr>
    </w:tblStylePr>
  </w:style>
  <w:style w:type="table" w:styleId="77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3BAFD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DC33FA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DC33FA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DC33FA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DC33FA" w:themeFill="accent4" w:themeFillTint="9a"/>
      </w:tcPr>
    </w:tblStylePr>
  </w:style>
  <w:style w:type="table" w:styleId="77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EFB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C99C00" w:themeFill="accent5"/>
      </w:tcPr>
    </w:tblStylePr>
    <w:tblStylePr w:type="firstRow">
      <w:rPr>
        <w:color w:val="F2F2F2"/>
        <w:sz w:val="22"/>
      </w:rPr>
      <w:tblPr/>
      <w:tcPr>
        <w:shd w:val="clear" w:color="FFFFFF" w:fill="C99C00" w:themeFill="accent5"/>
      </w:tcPr>
    </w:tblStylePr>
    <w:tblStylePr w:type="lastCol">
      <w:rPr>
        <w:color w:val="F2F2F2"/>
        <w:sz w:val="22"/>
      </w:rPr>
      <w:tblPr/>
      <w:tcPr>
        <w:shd w:val="clear" w:color="FFFFFF" w:fill="C99C00" w:themeFill="accent5"/>
      </w:tcPr>
    </w:tblStylePr>
    <w:tblStylePr w:type="lastRow">
      <w:rPr>
        <w:color w:val="F2F2F2"/>
        <w:sz w:val="22"/>
      </w:rPr>
      <w:tblPr/>
      <w:tcPr>
        <w:shd w:val="clear" w:color="FFFFFF" w:fill="C99C00" w:themeFill="accent5"/>
      </w:tcPr>
    </w:tblStylePr>
  </w:style>
  <w:style w:type="table" w:styleId="77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7CCCC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C9211E" w:themeFill="accent6"/>
      </w:tcPr>
    </w:tblStylePr>
    <w:tblStylePr w:type="firstRow">
      <w:rPr>
        <w:color w:val="F2F2F2"/>
        <w:sz w:val="22"/>
      </w:rPr>
      <w:tblPr/>
      <w:tcPr>
        <w:shd w:val="clear" w:color="FFFFFF" w:fill="C9211E" w:themeFill="accent6"/>
      </w:tcPr>
    </w:tblStylePr>
    <w:tblStylePr w:type="lastCol">
      <w:rPr>
        <w:color w:val="F2F2F2"/>
        <w:sz w:val="22"/>
      </w:rPr>
      <w:tblPr/>
      <w:tcPr>
        <w:shd w:val="clear" w:color="FFFFFF" w:fill="C9211E" w:themeFill="accent6"/>
      </w:tcPr>
    </w:tblStylePr>
    <w:tblStylePr w:type="lastRow">
      <w:rPr>
        <w:color w:val="F2F2F2"/>
        <w:sz w:val="22"/>
      </w:rPr>
      <w:tblPr/>
      <w:tcPr>
        <w:shd w:val="clear" w:color="FFFFFF" w:fill="C9211E" w:themeFill="accent6"/>
      </w:tcPr>
    </w:tblStylePr>
  </w:style>
  <w:style w:type="table" w:styleId="777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778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779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780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781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782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783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63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Application>LibreOffice/7.5.9.2$Windows_x86 LibreOffice_project/cdeefe45c17511d326101eed8008ac4092f278a9</Application>
  <AppVersion>15.0000</AppVersion>
  <Pages>3</Pages>
  <Words>830</Words>
  <Characters>6267</Characters>
  <CharactersWithSpaces>7342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2023-03-14T07:45:00Z</dcterms:created>
  <dc:creator>Дума г. Костромы</dc:creator>
  <dc:description/>
  <dc:language>ru-RU</dc:language>
  <cp:lastModifiedBy/>
  <cp:lastPrinted>2024-07-03T09:23:18Z</cp:lastPrinted>
  <dcterms:modified xsi:type="dcterms:W3CDTF">2024-07-03T09:24:00Z</dcterms:modified>
  <cp:revision>192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