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jc w:val="center"/>
        <w:rPr>
          <w:highlight w:val="none"/>
          <w:shd w:val="clear" w:color="auto" w:fill="auto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rPr>
          <w:highlight w:val="none"/>
          <w:shd w:val="clear" w:color="auto" w:fill="auto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76950" cy="742950"/>
                <wp:effectExtent l="0" t="0" r="0" b="0"/>
                <wp:docPr id="2" name="Рисунок 2" descr="пос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пост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76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8.50pt;height:58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tbl>
      <w:tblPr>
        <w:tblW w:w="9639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5670"/>
        <w:gridCol w:w="884"/>
      </w:tblGrid>
      <w:tr>
        <w:tblPrEx/>
        <w:trPr>
          <w:trHeight w:val="20"/>
        </w:trPr>
        <w:tc>
          <w:tcPr>
            <w:shd w:val="clear" w:color="auto" w:fill="auto"/>
            <w:tcBorders>
              <w:bottom w:val="single" w:color="000000" w:sz="4" w:space="0"/>
            </w:tcBorders>
            <w:tcW w:w="3085" w:type="dxa"/>
            <w:vAlign w:val="bottom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  <w:t xml:space="preserve">24 июня 2025 гда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5670" w:type="dxa"/>
            <w:vAlign w:val="bottom"/>
            <w:textDirection w:val="lrTb"/>
            <w:noWrap w:val="false"/>
          </w:tcPr>
          <w:p>
            <w:pPr>
              <w:jc w:val="right"/>
              <w:widowControl w:val="off"/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884" w:type="dxa"/>
            <w:vAlign w:val="bottom"/>
            <w:textDirection w:val="lrTb"/>
            <w:noWrap w:val="false"/>
          </w:tcPr>
          <w:p>
            <w:pPr>
              <w:pStyle w:val="658"/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  <w:t xml:space="preserve">57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r>
          </w:p>
        </w:tc>
      </w:tr>
    </w:tbl>
    <w:p>
      <w:pPr>
        <w:pStyle w:val="663"/>
        <w:numPr>
          <w:ilvl w:val="0"/>
          <w:numId w:val="0"/>
        </w:numPr>
        <w:ind w:left="0" w:firstLine="0"/>
        <w:jc w:val="left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О назначении публичных слушаний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по проектам постановлений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г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участке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имеющем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местоположение 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Поселковая, 88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 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44:27:040525:129,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о предоставлении разрешений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условно разрешенный вид использования земельных участков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ложение в городе Костроме: поселок Васильевское, д. 16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44:27:070601:1134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Городская, 1в, ГПК № 204, бокс 5, 6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44:27:090508:978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территория ГСК 188, бокс 180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44:27:040526:1080,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188, бокс 205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44:27:040526:1081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658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Рассмотрев обращение главы Администрации города Костромы «О назначении публичных слушаний», в целях со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статьями 5.1, 39, 40                 Градостроительного кодекса Росси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йской Федерации, Федеральным законом                    от 6 октября 2003 года № 131-ФЗ «Об общих принципах организации местного             самоуправления в Российской Федерации», Порядком организации и проведения          публичных слушаний, общественных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обсуждений по проектам муниципальных               правовых актов города Костромы в сфере градостроительной деятельности,                   Правилами землепользования и застройки города Костромы, руководствуясь статьями 20, 37 и 56 Устава города Костромы,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ПОСТАНОВЛЯЮ: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 Назначить публичн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ые слушания по проектам постановлений Администрации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города Костромы: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на от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клонение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от предельных параметров разрешенного строительства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реконструкции объектов капитального строительства на земельном участке         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44:27:040525:129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расп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многофункциональной общественно-деловой зоне Д-1 (подзона Д-1.6),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 адресу: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     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Поселковая, 88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использования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объекта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44:27:070601:1134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располож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енн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ого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оне застройки малоэтажными жилыми домами (до 4 этажей, включая мансардный)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Ж-2,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поселок Васильевское, д. 16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;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pStyle w:val="726"/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3)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на условно разрешенный вид ис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использования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объекта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44:27:090508:978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располож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енн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ого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оне градостроительных преобразований в общественно-деловую зону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ГП-6 (подзона ГП-6.1)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улица Городская, 1в, ГПК № 204, бокс 5, 6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4)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использования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объекта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44:27:040526:1080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располож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енн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ого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многофункциональной общественно-деловой  зоне Д-1 (подзона Д-1.6)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                     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188, бокс 180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ascii="Times New Roman" w:hAnsi="Times New Roman" w:cs="Times New Roman"/>
          <w:color w:val="000000"/>
          <w:sz w:val="26"/>
          <w:szCs w:val="26"/>
          <w:lang w:val="ru-RU" w:eastAsia="zh-CN" w:bidi="ar-SA"/>
          <w14:ligatures w14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zh-CN" w:bidi="ar-SA"/>
        </w:rPr>
        <w:t xml:space="preserve">5)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использования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объекта капиталь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44:27:040526:1081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располож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енн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ого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многофункциональной общественно-деловой  зоне Д-1 (подзона Д-1.6)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                     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188, бокс 205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форме собрания участников публичных слушаний по проекту муниципального правового акта в Администрации города Костромы.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zh-CN" w:bidi="ar-SA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zh-CN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2. Опреде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лить ор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ганизатором публичных слушаний по проектам постановлений Администрац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город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 Костромы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участке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имеющем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местоположение в городе Костроме: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Поселковая, 88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с кадастровым номером 44:27:040525:129,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о предоставлении разрешений на условно разрешенный вид использования земельных участков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объектов капитального строительства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имеющих местопо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ложение в городе Костроме: поселок Васильевское, д. 16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с кадастровым номером 44:27:070601:1134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улица Городская, 1в, ГПК № 204, бокс 5, 6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с кадастровым номером 44:27:090508:978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территория ГСК 188, бокс 180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с кадастровым номером 44:27:040526:1080,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территория ГСК 188, бокс 205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с кадастровым номером 44:27:040526:1081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– Комиссию по подготовке проекта Правил землепользования и застройки города Костромы.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                                   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3. Назначить проведение собрания участников публичных слушаний                           на 15 июля 2025 года в период с 15-00 до 16-05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часов по адресу:                              Российская Федерация, Костромская область, городской округ город Кострома,                 город Кострома, площадь Конституции, 2, 3 этаж, кабинет 306 (кабинет главного архитектора).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4. Утвердить прилагаемые: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повестку собрания участников публичных слушаний по проектам постановлений 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участке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имеющем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местоположение 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Поселковая, 88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44:27:040525:129,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ложение в городе Костроме: поселок Васильевское, д. 16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                          с кадастровым номером 44:27:070601:1134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улица Городская, 1в, ГПК № 204,               бокс 5, 6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44:27:090508:978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территория ГСК 188, бокс 180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                 с кадастровым номером 44:27:040526:1080,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188, бокс 205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                              с кадастровым номером 44:27:040526:1081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(приложение 1);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 оповещение о начале публичных слушаний (приложение 2).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5. Опубликовать настоящее постановление 27 июня 2025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года в порядке, установленном для официального опубликования муниципальных правовых актов города Костромы, иной официальной информации, и разместить на официальном сайте Думы города Костромы в информационно-телекоммуникационной сети «Интернет».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6. С 7 июля 2025 года разместить на официальном сайте Администрации  города Костромы в информационно-телекоммуникационной сети «Интернет» прилагаемые: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кт постановления Администрации города Костромы «О предоставлении разрешения на откло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нение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от предельных параметров разрешенного строительства, реконструкции объектов капитального строительства на земельном участке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44:27:040525:129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расположенном 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Поселковая, 88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3);</w:t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разрешенный вид использо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вания 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объекта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44:27:070601:1134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расположенного 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поселок Васильевское, д. 16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4);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3)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разрешенный вид использо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вания 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объекта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44:27:090508:978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Городская, 1в, ГПК № 204, бокс 5, 6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5);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разрешенный вид использо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вания 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объекта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44:27:040526:1080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                 ГСК 188, бокс 180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6);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5)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разрешенный вид использо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вания 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объекта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44:27:040526:1081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                 ГСК 188, бокс 205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7).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7. Не позднее 7 июля 2025 года разместить и до 15 июля 2025 года распространять оповещение о начале публичных слушаний на информационных стендах, находящихся в муниципальной собственности.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8. Настоящее постановление вступает в силу со дня его подписания и подлежит официальному опубликованию.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firstLine="0"/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</w:p>
    <w:p>
      <w:pPr>
        <w:pStyle w:val="726"/>
        <w:ind w:firstLine="0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left="0" w:right="0" w:firstLine="0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Глава города Костромы Ю. В. Журин</w:t>
        <w:br/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left="0" w:right="0" w:firstLine="0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"___" _________ 2025 года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sectPr>
      <w:footnotePr/>
      <w:endnotePr/>
      <w:type w:val="nextPage"/>
      <w:pgSz w:w="11906" w:h="16838" w:orient="portrait"/>
      <w:pgMar w:top="725" w:right="506" w:bottom="522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Tahoma">
    <w:panose1 w:val="020B0604030504040204"/>
  </w:font>
  <w:font w:name="Mangal">
    <w:panose1 w:val="02040503050203030202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Segoe UI">
    <w:panose1 w:val="020B0502040204020203"/>
  </w:font>
  <w:font w:name="DejaVu Sans">
    <w:panose1 w:val="020B06030308040202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663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jc w:val="left"/>
      <w:spacing w:before="0" w:after="0" w:line="240" w:lineRule="auto"/>
      <w:widowControl w:val="off"/>
    </w:pPr>
    <w:rPr>
      <w:rFonts w:ascii="Arial" w:hAnsi="Arial" w:eastAsia="Times New Roman" w:cs="DejaVu Sans" w:cstheme="minorBidi"/>
      <w:color w:val="auto"/>
      <w:sz w:val="18"/>
      <w:szCs w:val="18"/>
      <w:lang w:val="ru-RU" w:eastAsia="ar-SA" w:bidi="ar-SA"/>
    </w:rPr>
  </w:style>
  <w:style w:type="paragraph" w:styleId="659">
    <w:name w:val="Heading 1"/>
    <w:basedOn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qFormat/>
    <w:pPr>
      <w:numPr>
        <w:ilvl w:val="4"/>
        <w:numId w:val="1"/>
      </w:numPr>
      <w:ind w:left="0" w:firstLine="0"/>
      <w:jc w:val="center"/>
      <w:keepNext/>
      <w:outlineLvl w:val="4"/>
    </w:pPr>
    <w:rPr>
      <w:b/>
      <w:sz w:val="32"/>
      <w:lang w:val="en-US"/>
    </w:rPr>
  </w:style>
  <w:style w:type="paragraph" w:styleId="664">
    <w:name w:val="Heading 6"/>
    <w:basedOn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1 Char"/>
    <w:basedOn w:val="690"/>
    <w:uiPriority w:val="9"/>
    <w:qFormat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0"/>
    <w:uiPriority w:val="9"/>
    <w:qFormat/>
    <w:rPr>
      <w:rFonts w:ascii="Arial" w:hAnsi="Arial" w:eastAsia="Arial" w:cs="Arial"/>
      <w:sz w:val="34"/>
    </w:rPr>
  </w:style>
  <w:style w:type="character" w:styleId="670">
    <w:name w:val="Heading 3 Char"/>
    <w:basedOn w:val="690"/>
    <w:uiPriority w:val="9"/>
    <w:qFormat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0"/>
    <w:uiPriority w:val="10"/>
    <w:qFormat/>
    <w:rPr>
      <w:sz w:val="48"/>
      <w:szCs w:val="48"/>
    </w:rPr>
  </w:style>
  <w:style w:type="character" w:styleId="678">
    <w:name w:val="Subtitle Char"/>
    <w:basedOn w:val="690"/>
    <w:uiPriority w:val="11"/>
    <w:qFormat/>
    <w:rPr>
      <w:sz w:val="24"/>
      <w:szCs w:val="24"/>
    </w:rPr>
  </w:style>
  <w:style w:type="character" w:styleId="679">
    <w:name w:val="Quote Char"/>
    <w:uiPriority w:val="29"/>
    <w:qFormat/>
    <w:rPr>
      <w:i/>
    </w:rPr>
  </w:style>
  <w:style w:type="character" w:styleId="680">
    <w:name w:val="Intense Quote Char"/>
    <w:uiPriority w:val="30"/>
    <w:qFormat/>
    <w:rPr>
      <w:i/>
    </w:rPr>
  </w:style>
  <w:style w:type="character" w:styleId="681">
    <w:name w:val="Header Char"/>
    <w:basedOn w:val="690"/>
    <w:uiPriority w:val="99"/>
    <w:qFormat/>
  </w:style>
  <w:style w:type="character" w:styleId="682">
    <w:name w:val="Footer Char"/>
    <w:basedOn w:val="690"/>
    <w:uiPriority w:val="99"/>
    <w:qFormat/>
  </w:style>
  <w:style w:type="character" w:styleId="683">
    <w:name w:val="Caption Char"/>
    <w:uiPriority w:val="99"/>
    <w:qFormat/>
  </w:style>
  <w:style w:type="character" w:styleId="684">
    <w:name w:val="Footnote Text Char"/>
    <w:uiPriority w:val="99"/>
    <w:qFormat/>
    <w:rPr>
      <w:sz w:val="18"/>
    </w:rPr>
  </w:style>
  <w:style w:type="character" w:styleId="685">
    <w:name w:val="Символ сноски"/>
    <w:uiPriority w:val="99"/>
    <w:unhideWhenUsed/>
    <w:qFormat/>
    <w:rPr>
      <w:vertAlign w:val="superscript"/>
    </w:rPr>
  </w:style>
  <w:style w:type="character" w:styleId="686">
    <w:name w:val="footnote reference"/>
    <w:rPr>
      <w:vertAlign w:val="superscript"/>
    </w:rPr>
  </w:style>
  <w:style w:type="character" w:styleId="687">
    <w:name w:val="Endnote Text Char"/>
    <w:uiPriority w:val="99"/>
    <w:qFormat/>
    <w:rPr>
      <w:sz w:val="20"/>
    </w:rPr>
  </w:style>
  <w:style w:type="character" w:styleId="68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89">
    <w:name w:val="endnote reference"/>
    <w:rPr>
      <w:vertAlign w:val="superscript"/>
    </w:rPr>
  </w:style>
  <w:style w:type="character" w:styleId="690" w:default="1">
    <w:name w:val="Default Paragraph Font"/>
    <w:uiPriority w:val="1"/>
    <w:semiHidden/>
    <w:unhideWhenUsed/>
    <w:qFormat/>
  </w:style>
  <w:style w:type="character" w:styleId="691" w:customStyle="1">
    <w:name w:val="Заголовок 5 Знак"/>
    <w:basedOn w:val="690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692" w:customStyle="1">
    <w:name w:val="Верхний колонтитул Знак"/>
    <w:basedOn w:val="690"/>
    <w:semiHidden/>
    <w:qFormat/>
    <w:rPr>
      <w:rFonts w:ascii="Arial" w:hAnsi="Arial" w:eastAsia="Times New Roman" w:cs="Arial"/>
      <w:sz w:val="18"/>
      <w:szCs w:val="18"/>
      <w:lang w:eastAsia="ar-SA"/>
    </w:rPr>
  </w:style>
  <w:style w:type="character" w:styleId="693" w:customStyle="1">
    <w:name w:val="Текст выноски Знак"/>
    <w:basedOn w:val="690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694">
    <w:name w:val="Hyperlink"/>
    <w:basedOn w:val="690"/>
    <w:uiPriority w:val="99"/>
    <w:unhideWhenUsed/>
    <w:rPr>
      <w:color w:val="0563c1" w:themeColor="hyperlink"/>
      <w:u w:val="single"/>
    </w:rPr>
  </w:style>
  <w:style w:type="character" w:styleId="695" w:customStyle="1">
    <w:name w:val="Нижний колонтитул Знак"/>
    <w:basedOn w:val="690"/>
    <w:uiPriority w:val="99"/>
    <w:qFormat/>
    <w:rPr>
      <w:rFonts w:ascii="Arial" w:hAnsi="Arial" w:eastAsia="Times New Roman" w:cs="Arial"/>
      <w:sz w:val="18"/>
      <w:szCs w:val="18"/>
      <w:lang w:eastAsia="ar-SA"/>
    </w:rPr>
  </w:style>
  <w:style w:type="character" w:styleId="696">
    <w:name w:val="Основной шрифт абзаца1"/>
    <w:qFormat/>
  </w:style>
  <w:style w:type="character" w:styleId="697">
    <w:name w:val="Основной шрифт абзаца"/>
    <w:qFormat/>
  </w:style>
  <w:style w:type="paragraph" w:styleId="698">
    <w:name w:val="Заголовок"/>
    <w:basedOn w:val="658"/>
    <w:next w:val="69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9">
    <w:name w:val="Body Text"/>
    <w:basedOn w:val="658"/>
    <w:pPr>
      <w:spacing w:before="0" w:after="140" w:line="276" w:lineRule="auto"/>
    </w:pPr>
  </w:style>
  <w:style w:type="paragraph" w:styleId="700">
    <w:name w:val="List"/>
    <w:basedOn w:val="699"/>
    <w:rPr>
      <w:rFonts w:cs="Mangal"/>
    </w:rPr>
  </w:style>
  <w:style w:type="paragraph" w:styleId="701">
    <w:name w:val="Caption"/>
    <w:basedOn w:val="658"/>
    <w:link w:val="683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02">
    <w:name w:val="Указатель"/>
    <w:basedOn w:val="658"/>
    <w:qFormat/>
    <w:pPr>
      <w:suppressLineNumbers/>
    </w:pPr>
    <w:rPr>
      <w:rFonts w:cs="Mangal"/>
    </w:rPr>
  </w:style>
  <w:style w:type="paragraph" w:styleId="703">
    <w:name w:val="No Spacing"/>
    <w:uiPriority w:val="1"/>
    <w:qFormat/>
    <w:pPr>
      <w:jc w:val="left"/>
      <w:spacing w:before="0" w:after="0" w:line="240" w:lineRule="auto"/>
      <w:widowControl/>
    </w:pPr>
    <w:rPr>
      <w:rFonts w:ascii="Arial" w:hAnsi="Arial" w:eastAsia="Arial" w:cs="DejaVu Sans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04">
    <w:name w:val="Title"/>
    <w:basedOn w:val="6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5">
    <w:name w:val="Subtitle"/>
    <w:basedOn w:val="658"/>
    <w:uiPriority w:val="11"/>
    <w:qFormat/>
    <w:pPr>
      <w:spacing w:before="200" w:after="200"/>
    </w:pPr>
    <w:rPr>
      <w:sz w:val="24"/>
      <w:szCs w:val="24"/>
    </w:rPr>
  </w:style>
  <w:style w:type="paragraph" w:styleId="706">
    <w:name w:val="Quote"/>
    <w:basedOn w:val="658"/>
    <w:uiPriority w:val="29"/>
    <w:qFormat/>
    <w:pPr>
      <w:ind w:left="720" w:right="720" w:firstLine="0"/>
    </w:pPr>
    <w:rPr>
      <w:i/>
    </w:rPr>
  </w:style>
  <w:style w:type="paragraph" w:styleId="707">
    <w:name w:val="Intense Quote"/>
    <w:basedOn w:val="65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8">
    <w:name w:val="footnote text"/>
    <w:basedOn w:val="6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9">
    <w:name w:val="endnote text"/>
    <w:basedOn w:val="6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0">
    <w:name w:val="toc 1"/>
    <w:basedOn w:val="658"/>
    <w:uiPriority w:val="39"/>
    <w:unhideWhenUsed/>
    <w:pPr>
      <w:ind w:left="0" w:right="0" w:firstLine="0"/>
      <w:spacing w:before="0" w:after="57"/>
    </w:pPr>
  </w:style>
  <w:style w:type="paragraph" w:styleId="711">
    <w:name w:val="toc 2"/>
    <w:basedOn w:val="658"/>
    <w:uiPriority w:val="39"/>
    <w:unhideWhenUsed/>
    <w:pPr>
      <w:ind w:left="283" w:right="0" w:firstLine="0"/>
      <w:spacing w:before="0" w:after="57"/>
    </w:pPr>
  </w:style>
  <w:style w:type="paragraph" w:styleId="712">
    <w:name w:val="toc 3"/>
    <w:basedOn w:val="658"/>
    <w:uiPriority w:val="39"/>
    <w:unhideWhenUsed/>
    <w:pPr>
      <w:ind w:left="567" w:right="0" w:firstLine="0"/>
      <w:spacing w:before="0" w:after="57"/>
    </w:pPr>
  </w:style>
  <w:style w:type="paragraph" w:styleId="713">
    <w:name w:val="toc 4"/>
    <w:basedOn w:val="658"/>
    <w:uiPriority w:val="39"/>
    <w:unhideWhenUsed/>
    <w:pPr>
      <w:ind w:left="850" w:right="0" w:firstLine="0"/>
      <w:spacing w:before="0" w:after="57"/>
    </w:pPr>
  </w:style>
  <w:style w:type="paragraph" w:styleId="714">
    <w:name w:val="toc 5"/>
    <w:basedOn w:val="658"/>
    <w:uiPriority w:val="39"/>
    <w:unhideWhenUsed/>
    <w:pPr>
      <w:ind w:left="1134" w:right="0" w:firstLine="0"/>
      <w:spacing w:before="0" w:after="57"/>
    </w:pPr>
  </w:style>
  <w:style w:type="paragraph" w:styleId="715">
    <w:name w:val="toc 6"/>
    <w:basedOn w:val="658"/>
    <w:uiPriority w:val="39"/>
    <w:unhideWhenUsed/>
    <w:pPr>
      <w:ind w:left="1417" w:right="0" w:firstLine="0"/>
      <w:spacing w:before="0" w:after="57"/>
    </w:pPr>
  </w:style>
  <w:style w:type="paragraph" w:styleId="716">
    <w:name w:val="toc 7"/>
    <w:basedOn w:val="658"/>
    <w:uiPriority w:val="39"/>
    <w:unhideWhenUsed/>
    <w:pPr>
      <w:ind w:left="1701" w:right="0" w:firstLine="0"/>
      <w:spacing w:before="0" w:after="57"/>
    </w:pPr>
  </w:style>
  <w:style w:type="paragraph" w:styleId="717">
    <w:name w:val="toc 8"/>
    <w:basedOn w:val="658"/>
    <w:uiPriority w:val="39"/>
    <w:unhideWhenUsed/>
    <w:pPr>
      <w:ind w:left="1984" w:right="0" w:firstLine="0"/>
      <w:spacing w:before="0" w:after="57"/>
    </w:pPr>
  </w:style>
  <w:style w:type="paragraph" w:styleId="718">
    <w:name w:val="toc 9"/>
    <w:basedOn w:val="658"/>
    <w:uiPriority w:val="39"/>
    <w:unhideWhenUsed/>
    <w:pPr>
      <w:ind w:left="2268" w:right="0" w:firstLine="0"/>
      <w:spacing w:before="0" w:after="57"/>
    </w:pPr>
  </w:style>
  <w:style w:type="paragraph" w:styleId="719">
    <w:name w:val="Index Heading"/>
    <w:basedOn w:val="698"/>
  </w:style>
  <w:style w:type="paragraph" w:styleId="720">
    <w:name w:val="TOC Heading"/>
    <w:uiPriority w:val="39"/>
    <w:unhideWhenUsed/>
    <w:qFormat/>
    <w:pPr>
      <w:jc w:val="left"/>
      <w:spacing w:before="0" w:after="0"/>
      <w:widowControl/>
    </w:pPr>
    <w:rPr>
      <w:rFonts w:ascii="Arial" w:hAnsi="Arial" w:eastAsia="Arial" w:cs="DejaVu Sans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1">
    <w:name w:val="table of figures"/>
    <w:basedOn w:val="658"/>
    <w:uiPriority w:val="99"/>
    <w:unhideWhenUsed/>
    <w:qFormat/>
    <w:pPr>
      <w:spacing w:before="0" w:after="0" w:afterAutospacing="0"/>
    </w:pPr>
  </w:style>
  <w:style w:type="paragraph" w:styleId="722">
    <w:name w:val="Колонтитул"/>
    <w:basedOn w:val="658"/>
    <w:qFormat/>
  </w:style>
  <w:style w:type="paragraph" w:styleId="723">
    <w:name w:val="Header"/>
    <w:basedOn w:val="658"/>
    <w:semiHidden/>
  </w:style>
  <w:style w:type="paragraph" w:styleId="724" w:customStyle="1">
    <w:name w:val="Стопслово"/>
    <w:basedOn w:val="658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  <w:lang w:eastAsia="ru-RU"/>
    </w:rPr>
  </w:style>
  <w:style w:type="paragraph" w:styleId="725" w:customStyle="1">
    <w:name w:val="Подпись_гл"/>
    <w:basedOn w:val="658"/>
    <w:qFormat/>
    <w:pPr>
      <w:jc w:val="both"/>
      <w:spacing w:before="920" w:after="0"/>
      <w:widowControl/>
      <w:tabs>
        <w:tab w:val="clear" w:pos="708" w:leader="none"/>
        <w:tab w:val="left" w:pos="7371" w:leader="none"/>
      </w:tabs>
    </w:pPr>
    <w:rPr>
      <w:rFonts w:ascii="Times New Roman" w:hAnsi="Times New Roman" w:cs="Times New Roman"/>
      <w:sz w:val="26"/>
      <w:szCs w:val="24"/>
      <w:lang w:eastAsia="ru-RU"/>
    </w:rPr>
  </w:style>
  <w:style w:type="paragraph" w:styleId="726" w:customStyle="1">
    <w:name w:val="Решение"/>
    <w:basedOn w:val="658"/>
    <w:qFormat/>
    <w:pPr>
      <w:ind w:firstLine="709"/>
      <w:jc w:val="both"/>
      <w:widowControl/>
    </w:pPr>
    <w:rPr>
      <w:rFonts w:ascii="Times New Roman" w:hAnsi="Times New Roman" w:cs="Times New Roman"/>
      <w:sz w:val="26"/>
      <w:szCs w:val="26"/>
      <w:lang w:eastAsia="ru-RU"/>
    </w:rPr>
  </w:style>
  <w:style w:type="paragraph" w:styleId="727">
    <w:name w:val="Balloon Text"/>
    <w:basedOn w:val="658"/>
    <w:uiPriority w:val="99"/>
    <w:semiHidden/>
    <w:unhideWhenUsed/>
    <w:qFormat/>
    <w:rPr>
      <w:rFonts w:ascii="Segoe UI" w:hAnsi="Segoe UI" w:cs="Segoe UI"/>
    </w:rPr>
  </w:style>
  <w:style w:type="paragraph" w:styleId="728">
    <w:name w:val="List Paragraph"/>
    <w:basedOn w:val="658"/>
    <w:uiPriority w:val="34"/>
    <w:qFormat/>
    <w:pPr>
      <w:contextualSpacing/>
      <w:ind w:left="720" w:firstLine="0"/>
      <w:spacing w:before="0" w:after="0"/>
    </w:pPr>
  </w:style>
  <w:style w:type="paragraph" w:styleId="729">
    <w:name w:val="Footer"/>
    <w:basedOn w:val="658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30">
    <w:name w:val="Текст выноски"/>
    <w:basedOn w:val="658"/>
    <w:qFormat/>
    <w:rPr>
      <w:rFonts w:ascii="Tahoma" w:hAnsi="Tahoma" w:cs="Tahoma"/>
      <w:sz w:val="16"/>
      <w:szCs w:val="16"/>
    </w:rPr>
  </w:style>
  <w:style w:type="paragraph" w:styleId="731">
    <w:name w:val="Содержимое врезки"/>
    <w:basedOn w:val="699"/>
    <w:qFormat/>
  </w:style>
  <w:style w:type="paragraph" w:styleId="732">
    <w:name w:val="Содержимое таблицы"/>
    <w:basedOn w:val="658"/>
    <w:qFormat/>
    <w:pPr>
      <w:widowControl w:val="off"/>
      <w:suppressLineNumbers/>
    </w:pPr>
  </w:style>
  <w:style w:type="paragraph" w:styleId="733">
    <w:name w:val="Заголовок таблицы"/>
    <w:basedOn w:val="732"/>
    <w:qFormat/>
    <w:pPr>
      <w:jc w:val="center"/>
      <w:suppressLineNumbers/>
    </w:pPr>
    <w:rPr>
      <w:b/>
      <w:bCs/>
    </w:rPr>
  </w:style>
  <w:style w:type="paragraph" w:styleId="734">
    <w:name w:val="Указатель1"/>
    <w:basedOn w:val="658"/>
    <w:qFormat/>
    <w:pPr>
      <w:suppressLineNumbers/>
    </w:pPr>
    <w:rPr>
      <w:rFonts w:ascii="Arial" w:hAnsi="Arial" w:cs="Tahoma"/>
    </w:rPr>
  </w:style>
  <w:style w:type="paragraph" w:styleId="735">
    <w:name w:val="Название1"/>
    <w:basedOn w:val="658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numbering" w:styleId="736" w:default="1">
    <w:name w:val="No List"/>
    <w:uiPriority w:val="99"/>
    <w:semiHidden/>
    <w:unhideWhenUsed/>
    <w:qFormat/>
  </w:style>
  <w:style w:type="table" w:styleId="737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0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1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c5fdbc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ebe03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36b8fb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68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43c03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69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c33fa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0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79fb64" w:themeFill="accent1" w:themeFillTint="75"/>
      </w:tcPr>
    </w:tblStylePr>
    <w:tblStylePr w:type="band1Vert">
      <w:tcPr>
        <w:shd w:val="clear" w:color="ffffff" w:fill="79fb64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18a303" w:themeFill="accent1"/>
      </w:tc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ffffff"/>
        <w:sz w:val="22"/>
      </w:rPr>
      <w:tcPr>
        <w:shd w:val="clear" w:color="ffffff" w:fill="18a303" w:themeFill="accent1"/>
      </w:tcPr>
    </w:tblStylePr>
    <w:tblStylePr w:type="lastRow">
      <w:rPr>
        <w:b/>
        <w:color w:val="ffffff"/>
        <w:sz w:val="22"/>
      </w:rPr>
      <w:tcPr>
        <w:shd w:val="clear" w:color="ffffff" w:fill="18a303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64c8fb" w:themeFill="accent2" w:themeFillTint="75"/>
      </w:tcPr>
    </w:tblStylePr>
    <w:tblStylePr w:type="band1Vert">
      <w:tcPr>
        <w:shd w:val="clear" w:color="ffffff" w:fill="64c8fb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0369a3" w:themeFill="accent2"/>
      </w:tcPr>
    </w:tblStylePr>
    <w:tblStylePr w:type="firstRow">
      <w:rPr>
        <w:b/>
        <w:color w:val="ffffff"/>
        <w:sz w:val="22"/>
      </w:rPr>
      <w:tcPr>
        <w:shd w:val="clear" w:color="ffffff" w:fill="0369a3" w:themeFill="accent2"/>
      </w:tcPr>
    </w:tblStylePr>
    <w:tblStylePr w:type="lastCol">
      <w:rPr>
        <w:b/>
        <w:color w:val="ffffff"/>
        <w:sz w:val="22"/>
      </w:rPr>
      <w:tcPr>
        <w:shd w:val="clear" w:color="ffffff" w:fill="0369a3" w:themeFill="accent2"/>
      </w:tcPr>
    </w:tblStylePr>
    <w:tblStylePr w:type="lastRow">
      <w:rPr>
        <w:b/>
        <w:color w:val="ffffff"/>
        <w:sz w:val="22"/>
      </w:rPr>
      <w:tcPr>
        <w:shd w:val="clear" w:color="ffffff" w:fill="0369a3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9964" w:themeFill="accent3" w:themeFillTint="75"/>
      </w:tcPr>
    </w:tblStylePr>
    <w:tblStylePr w:type="band1Vert">
      <w:tcPr>
        <w:shd w:val="clear" w:color="ffffff" w:fill="fb9964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33e03" w:themeFill="accent3"/>
      </w:tcPr>
    </w:tblStylePr>
    <w:tblStylePr w:type="firstRow">
      <w:rPr>
        <w:b/>
        <w:color w:val="ffffff"/>
        <w:sz w:val="22"/>
      </w:rPr>
      <w:tcPr>
        <w:shd w:val="clear" w:color="ffffff" w:fill="a33e03" w:themeFill="accent3"/>
      </w:tcPr>
    </w:tblStylePr>
    <w:tblStylePr w:type="lastCol">
      <w:rPr>
        <w:b/>
        <w:color w:val="ffffff"/>
        <w:sz w:val="22"/>
      </w:rPr>
      <w:tcPr>
        <w:shd w:val="clear" w:color="ffffff" w:fill="a33e03" w:themeFill="accent3"/>
      </w:tcPr>
    </w:tblStylePr>
    <w:tblStylePr w:type="lastRow">
      <w:rPr>
        <w:b/>
        <w:color w:val="ffffff"/>
        <w:sz w:val="22"/>
      </w:rPr>
      <w:tcPr>
        <w:shd w:val="clear" w:color="ffffff" w:fill="a33e03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464fb" w:themeFill="accent4" w:themeFillTint="75"/>
      </w:tcPr>
    </w:tblStylePr>
    <w:tblStylePr w:type="band1Vert">
      <w:tcPr>
        <w:shd w:val="clear" w:color="ffffff" w:fill="e464fb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e03a3" w:themeFill="accent4"/>
      </w:tcPr>
    </w:tblStylePr>
    <w:tblStylePr w:type="firstRow">
      <w:rPr>
        <w:b/>
        <w:color w:val="ffffff"/>
        <w:sz w:val="22"/>
      </w:rPr>
      <w:tcPr>
        <w:shd w:val="clear" w:color="ffffff" w:fill="8e03a3" w:themeFill="accent4"/>
      </w:tcPr>
    </w:tblStylePr>
    <w:tblStylePr w:type="lastCol">
      <w:rPr>
        <w:b/>
        <w:color w:val="ffffff"/>
        <w:sz w:val="22"/>
      </w:rPr>
      <w:tcPr>
        <w:shd w:val="clear" w:color="ffffff" w:fill="8e03a3" w:themeFill="accent4"/>
      </w:tcPr>
    </w:tblStylePr>
    <w:tblStylePr w:type="lastRow">
      <w:rPr>
        <w:b/>
        <w:color w:val="ffffff"/>
        <w:sz w:val="22"/>
      </w:rPr>
      <w:tcPr>
        <w:shd w:val="clear" w:color="ffffff" w:fill="8e03a3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db71" w:themeFill="accent5" w:themeFillTint="75"/>
      </w:tcPr>
    </w:tblStylePr>
    <w:tblStylePr w:type="band1Vert">
      <w:tcPr>
        <w:shd w:val="clear" w:color="ffffff" w:fill="ffdb71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c99c00" w:themeFill="accent5"/>
      </w:tcPr>
    </w:tblStylePr>
    <w:tblStylePr w:type="firstRow">
      <w:rPr>
        <w:b/>
        <w:color w:val="ffffff"/>
        <w:sz w:val="22"/>
      </w:rPr>
      <w:tcPr>
        <w:shd w:val="clear" w:color="ffffff" w:fill="c99c00" w:themeFill="accent5"/>
      </w:tcPr>
    </w:tblStylePr>
    <w:tblStylePr w:type="lastCol">
      <w:rPr>
        <w:b/>
        <w:color w:val="ffffff"/>
        <w:sz w:val="22"/>
      </w:rPr>
      <w:tcPr>
        <w:shd w:val="clear" w:color="ffffff" w:fill="c99c00" w:themeFill="accent5"/>
      </w:tcPr>
    </w:tblStylePr>
    <w:tblStylePr w:type="lastRow">
      <w:rPr>
        <w:b/>
        <w:color w:val="ffffff"/>
        <w:sz w:val="22"/>
      </w:rPr>
      <w:tcPr>
        <w:shd w:val="clear" w:color="ffffff" w:fill="c99c00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e8f8f" w:themeFill="accent6" w:themeFillTint="75"/>
      </w:tcPr>
    </w:tblStylePr>
    <w:tblStylePr w:type="band1Vert">
      <w:tcPr>
        <w:shd w:val="clear" w:color="ffffff" w:fill="ee8f8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c9211e" w:themeFill="accent6"/>
      </w:tcPr>
    </w:tblStylePr>
    <w:tblStylePr w:type="firstRow">
      <w:rPr>
        <w:b/>
        <w:color w:val="ffffff"/>
        <w:sz w:val="22"/>
      </w:rPr>
      <w:tcPr>
        <w:shd w:val="clear" w:color="ffffff" w:fill="c9211e" w:themeFill="accent6"/>
      </w:tcPr>
    </w:tblStylePr>
    <w:tblStylePr w:type="lastCol">
      <w:rPr>
        <w:b/>
        <w:color w:val="ffffff"/>
        <w:sz w:val="22"/>
      </w:rPr>
      <w:tcPr>
        <w:shd w:val="clear" w:color="ffffff" w:fill="c9211e" w:themeFill="accent6"/>
      </w:tcPr>
    </w:tblStylePr>
    <w:tblStylePr w:type="lastRow">
      <w:rPr>
        <w:b/>
        <w:color w:val="ffffff"/>
        <w:sz w:val="22"/>
      </w:rPr>
      <w:tcPr>
        <w:shd w:val="clear" w:color="ffffff" w:fill="c9211e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c3fdba" w:themeFill="accent1" w:themeFillTint="34"/>
      </w:tcPr>
    </w:tblStylePr>
    <w:tblStylePr w:type="band1Vert">
      <w:tcPr>
        <w:shd w:val="clear" w:color="ffffff" w:fill="c3fdba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bce7fd" w:themeFill="accent2" w:themeFillTint="32"/>
      </w:tcPr>
    </w:tblStylePr>
    <w:tblStylePr w:type="band1Vert">
      <w:tcPr>
        <w:shd w:val="clear" w:color="ffffff" w:fill="bce7fd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dd2ba" w:themeFill="accent3" w:themeFillTint="34"/>
      </w:tcPr>
    </w:tblStylePr>
    <w:tblStylePr w:type="band1Vert">
      <w:tcPr>
        <w:shd w:val="clear" w:color="ffffff" w:fill="fdd2ba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3bafd" w:themeFill="accent4" w:themeFillTint="34"/>
      </w:tcPr>
    </w:tblStylePr>
    <w:tblStylePr w:type="band1Vert">
      <w:tcPr>
        <w:shd w:val="clear" w:color="ffffff" w:fill="f3bafd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efbf" w:themeFill="accent5" w:themeFillTint="34"/>
      </w:tcPr>
    </w:tblStylePr>
    <w:tblStylePr w:type="band1Vert">
      <w:tcPr>
        <w:shd w:val="clear" w:color="ffffff" w:fill="ffefb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7cccc" w:themeFill="accent6" w:themeFillTint="34"/>
      </w:tcPr>
    </w:tblStylePr>
    <w:tblStylePr w:type="band1Vert">
      <w:tcPr>
        <w:shd w:val="clear" w:color="ffffff" w:fill="f7cccc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6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1ebf04" w:themeColor="accent1" w:themeTint="80" w:themeShade="95"/>
        <w:sz w:val="22"/>
      </w:rPr>
      <w:tcPr>
        <w:shd w:val="clear" w:color="ffffff" w:fill="c3fdba" w:themeFill="accent1" w:themeFillTint="34"/>
      </w:tcPr>
    </w:tblStylePr>
    <w:tblStylePr w:type="band1Vert">
      <w:tcPr>
        <w:shd w:val="clear" w:color="ffffff" w:fill="c3fdba" w:themeFill="accent1" w:themeFillTint="34"/>
      </w:tcPr>
    </w:tblStylePr>
    <w:tblStylePr w:type="band2Horz">
      <w:rPr>
        <w:color w:val="1ebf04" w:themeColor="accent1" w:themeTint="80" w:themeShade="95"/>
        <w:sz w:val="22"/>
      </w:rPr>
    </w:tblStylePr>
    <w:tblStylePr w:type="firstCol">
      <w:rPr>
        <w:i/>
        <w:color w:val="1ebf0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1ebf04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1ebf0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1ebf04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cPr>
        <w:shd w:val="clear" w:color="ffffff" w:fill="bce7fd" w:themeFill="accent2" w:themeFillTint="32"/>
      </w:tcPr>
    </w:tblStylePr>
    <w:tblStylePr w:type="band1Vert">
      <w:tcPr>
        <w:shd w:val="clear" w:color="ffffff" w:fill="bce7fd" w:themeFill="accent2" w:themeFillTint="32"/>
      </w:tcPr>
    </w:tblStylePr>
    <w:tblStylePr w:type="band2Horz">
      <w:rPr>
        <w:color w:val="0378ae" w:themeColor="accent2" w:themeTint="97" w:themeShade="95"/>
        <w:sz w:val="22"/>
      </w:rPr>
    </w:tblStylePr>
    <w:tblStylePr w:type="firstCol">
      <w:rPr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e2201" w:themeColor="accent3" w:themeTint="FE" w:themeShade="95"/>
        <w:sz w:val="22"/>
      </w:rPr>
      <w:tcPr>
        <w:shd w:val="clear" w:color="ffffff" w:fill="fdd2ba" w:themeFill="accent3" w:themeFillTint="34"/>
      </w:tcPr>
    </w:tblStylePr>
    <w:tblStylePr w:type="band1Vert">
      <w:tcPr>
        <w:shd w:val="clear" w:color="ffffff" w:fill="fdd2ba" w:themeFill="accent3" w:themeFillTint="34"/>
      </w:tcPr>
    </w:tblStylePr>
    <w:tblStylePr w:type="band2Horz">
      <w:rPr>
        <w:color w:val="5e2201" w:themeColor="accent3" w:themeTint="FE" w:themeShade="95"/>
        <w:sz w:val="22"/>
      </w:rPr>
    </w:tblStylePr>
    <w:tblStylePr w:type="firstCol">
      <w:rPr>
        <w:i/>
        <w:color w:val="5e2201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e2201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e2201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e2201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cPr>
        <w:shd w:val="clear" w:color="ffffff" w:fill="f3bafd" w:themeFill="accent4" w:themeFillTint="34"/>
      </w:tcPr>
    </w:tblStylePr>
    <w:tblStylePr w:type="band1Vert">
      <w:tcPr>
        <w:shd w:val="clear" w:color="ffffff" w:fill="f3bafd" w:themeFill="accent4" w:themeFillTint="34"/>
      </w:tcPr>
    </w:tblStylePr>
    <w:tblStylePr w:type="band2Horz">
      <w:rPr>
        <w:color w:val="9104ab" w:themeColor="accent4" w:themeTint="9A" w:themeShade="95"/>
        <w:sz w:val="22"/>
      </w:rPr>
    </w:tblStylePr>
    <w:tblStylePr w:type="firstCol">
      <w:rPr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745700" w:themeColor="accent5" w:themeShade="95"/>
        <w:sz w:val="22"/>
      </w:rPr>
      <w:tcPr>
        <w:shd w:val="clear" w:color="ffffff" w:fill="ffefbf" w:themeFill="accent5" w:themeFillTint="34"/>
      </w:tcPr>
    </w:tblStylePr>
    <w:tblStylePr w:type="band1Vert">
      <w:tcPr>
        <w:shd w:val="clear" w:color="ffffff" w:fill="ffefbf" w:themeFill="accent5" w:themeFillTint="34"/>
      </w:tcPr>
    </w:tblStylePr>
    <w:tblStylePr w:type="band2Horz">
      <w:rPr>
        <w:color w:val="745700" w:themeColor="accent5" w:themeShade="95"/>
        <w:sz w:val="22"/>
      </w:rPr>
    </w:tblStylePr>
    <w:tblStylePr w:type="firstCol">
      <w:rPr>
        <w:i/>
        <w:color w:val="745700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745700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745700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45700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741111" w:themeColor="accent6" w:themeShade="95"/>
        <w:sz w:val="22"/>
      </w:rPr>
      <w:tcPr>
        <w:shd w:val="clear" w:color="ffffff" w:fill="f7cccc" w:themeFill="accent6" w:themeFillTint="34"/>
      </w:tcPr>
    </w:tblStylePr>
    <w:tblStylePr w:type="band1Vert">
      <w:tcPr>
        <w:shd w:val="clear" w:color="ffffff" w:fill="f7cccc" w:themeFill="accent6" w:themeFillTint="34"/>
      </w:tcPr>
    </w:tblStylePr>
    <w:tblStylePr w:type="band2Horz">
      <w:rPr>
        <w:color w:val="741111" w:themeColor="accent6" w:themeShade="95"/>
        <w:sz w:val="22"/>
      </w:rPr>
    </w:tblStylePr>
    <w:tblStylePr w:type="firstCol">
      <w:rPr>
        <w:i/>
        <w:color w:val="741111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741111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741111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41111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1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b6fdaa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2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aae1fd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3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dc7aa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04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0aafd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05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ebb1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06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5c2c2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07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36b8fb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a7a35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c33fa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042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e96e6e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2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3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35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3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0e5e01" w:themeColor="accent1" w:themeShade="95"/>
        <w:sz w:val="22"/>
      </w:rPr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band2Horz">
      <w:rPr>
        <w:color w:val="0e5e01" w:themeColor="accent1" w:themeShade="95"/>
        <w:sz w:val="22"/>
      </w:rPr>
    </w:tblStylePr>
    <w:tblStylePr w:type="firstCol">
      <w:rPr>
        <w:i/>
        <w:color w:val="0e5e0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0e5e0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0e5e0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0e5e0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0e5e01" w:themeColor="accent1" w:themeShade="95"/>
        <w:sz w:val="22"/>
      </w:rPr>
    </w:tblStylePr>
  </w:style>
  <w:style w:type="table" w:styleId="83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band2Horz">
      <w:rPr>
        <w:color w:val="0378ae" w:themeColor="accent2" w:themeTint="97" w:themeShade="95"/>
        <w:sz w:val="22"/>
      </w:rPr>
    </w:tblStylePr>
    <w:tblStylePr w:type="firstCol">
      <w:rPr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0378ae" w:themeColor="accent2" w:themeTint="97" w:themeShade="95"/>
        <w:sz w:val="22"/>
      </w:rPr>
    </w:tblStylePr>
  </w:style>
  <w:style w:type="table" w:styleId="83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ab3b04" w:themeColor="accent3" w:themeTint="98" w:themeShade="95"/>
        <w:sz w:val="22"/>
      </w:rPr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band2Horz">
      <w:rPr>
        <w:color w:val="ab3b04" w:themeColor="accent3" w:themeTint="98" w:themeShade="95"/>
        <w:sz w:val="22"/>
      </w:rPr>
    </w:tblStylePr>
    <w:tblStylePr w:type="firstCol">
      <w:rPr>
        <w:i/>
        <w:color w:val="ab3b04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ab3b04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ab3b04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b3b04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ab3b04" w:themeColor="accent3" w:themeTint="98" w:themeShade="95"/>
        <w:sz w:val="22"/>
      </w:rPr>
    </w:tblStylePr>
  </w:style>
  <w:style w:type="table" w:styleId="83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band2Horz">
      <w:rPr>
        <w:color w:val="9104ab" w:themeColor="accent4" w:themeTint="9A" w:themeShade="95"/>
        <w:sz w:val="22"/>
      </w:rPr>
    </w:tblStylePr>
    <w:tblStylePr w:type="firstCol">
      <w:rPr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104ab" w:themeColor="accent4" w:themeTint="9A" w:themeShade="95"/>
        <w:sz w:val="22"/>
      </w:rPr>
    </w:tblStylePr>
  </w:style>
  <w:style w:type="table" w:styleId="84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ba8700" w:themeColor="accent5" w:themeTint="9A" w:themeShade="95"/>
        <w:sz w:val="22"/>
      </w:rPr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band2Horz">
      <w:rPr>
        <w:color w:val="ba8700" w:themeColor="accent5" w:themeTint="9A" w:themeShade="95"/>
        <w:sz w:val="22"/>
      </w:rPr>
    </w:tblStylePr>
    <w:tblStylePr w:type="firstCol">
      <w:rPr>
        <w:i/>
        <w:color w:val="ba870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ba870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ba870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a870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ba8700" w:themeColor="accent5" w:themeTint="9A" w:themeShade="95"/>
        <w:sz w:val="22"/>
      </w:rPr>
    </w:tblStylePr>
  </w:style>
  <w:style w:type="table" w:styleId="84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ad1a1a" w:themeColor="accent6" w:themeTint="98" w:themeShade="95"/>
        <w:sz w:val="22"/>
      </w:rPr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band2Horz">
      <w:rPr>
        <w:color w:val="ad1a1a" w:themeColor="accent6" w:themeTint="98" w:themeShade="95"/>
        <w:sz w:val="22"/>
      </w:rPr>
    </w:tblStylePr>
    <w:tblStylePr w:type="firstCol">
      <w:rPr>
        <w:i/>
        <w:color w:val="ad1a1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ad1a1a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ad1a1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d1a1a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ad1a1a" w:themeColor="accent6" w:themeTint="98" w:themeShade="95"/>
        <w:sz w:val="22"/>
      </w:rPr>
    </w:tblStylePr>
  </w:style>
  <w:style w:type="table" w:styleId="84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4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cPr>
        <w:shd w:val="clear" w:color="ffffff" w:fill="1ebe03" w:themeFill="accent1" w:themeFillTint="EA"/>
      </w:tcPr>
    </w:tblStylePr>
  </w:style>
  <w:style w:type="table" w:styleId="84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cPr>
        <w:shd w:val="clear" w:color="ffffff" w:fill="36b8fb" w:themeFill="accent2" w:themeFillTint="97"/>
      </w:tcPr>
    </w:tblStylePr>
  </w:style>
  <w:style w:type="table" w:styleId="84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cPr>
        <w:shd w:val="clear" w:color="ffffff" w:fill="a43c03" w:themeFill="accent3" w:themeFillTint="FE"/>
      </w:tcPr>
    </w:tblStylePr>
  </w:style>
  <w:style w:type="table" w:styleId="84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cPr>
        <w:shd w:val="clear" w:color="ffffff" w:fill="dc33fa" w:themeFill="accent4" w:themeFillTint="9A"/>
      </w:tcPr>
    </w:tblStylePr>
  </w:style>
  <w:style w:type="table" w:styleId="84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c99c00" w:themeFill="accent5"/>
      </w:tcPr>
    </w:tblStylePr>
    <w:tblStylePr w:type="firstRow">
      <w:rPr>
        <w:color w:val="f2f2f2"/>
        <w:sz w:val="22"/>
      </w:rPr>
      <w:tcPr>
        <w:shd w:val="clear" w:color="ffffff" w:fill="c99c00" w:themeFill="accent5"/>
      </w:tcPr>
    </w:tblStylePr>
    <w:tblStylePr w:type="lastCol">
      <w:rPr>
        <w:color w:val="f2f2f2"/>
        <w:sz w:val="22"/>
      </w:rPr>
      <w:tcPr>
        <w:shd w:val="clear" w:color="ffffff" w:fill="c99c00" w:themeFill="accent5"/>
      </w:tcPr>
    </w:tblStylePr>
    <w:tblStylePr w:type="lastRow">
      <w:rPr>
        <w:color w:val="f2f2f2"/>
        <w:sz w:val="22"/>
      </w:rPr>
      <w:tcPr>
        <w:shd w:val="clear" w:color="ffffff" w:fill="c99c00" w:themeFill="accent5"/>
      </w:tcPr>
    </w:tblStylePr>
  </w:style>
  <w:style w:type="table" w:styleId="84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cPr>
        <w:shd w:val="clear" w:color="ffffff" w:fill="c9211e" w:themeFill="accent6"/>
      </w:tcPr>
    </w:tblStylePr>
    <w:tblStylePr w:type="firstRow">
      <w:rPr>
        <w:color w:val="f2f2f2"/>
        <w:sz w:val="22"/>
      </w:rPr>
      <w:tcPr>
        <w:shd w:val="clear" w:color="ffffff" w:fill="c9211e" w:themeFill="accent6"/>
      </w:tcPr>
    </w:tblStylePr>
    <w:tblStylePr w:type="lastCol">
      <w:rPr>
        <w:color w:val="f2f2f2"/>
        <w:sz w:val="22"/>
      </w:rPr>
      <w:tcPr>
        <w:shd w:val="clear" w:color="ffffff" w:fill="c9211e" w:themeFill="accent6"/>
      </w:tcPr>
    </w:tblStylePr>
    <w:tblStylePr w:type="lastRow">
      <w:rPr>
        <w:color w:val="f2f2f2"/>
        <w:sz w:val="22"/>
      </w:rPr>
      <w:tcPr>
        <w:shd w:val="clear" w:color="ffffff" w:fill="c9211e" w:themeFill="accent6"/>
      </w:tcPr>
    </w:tblStylePr>
  </w:style>
  <w:style w:type="table" w:styleId="84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5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cPr>
        <w:shd w:val="clear" w:color="ffffff" w:fill="1ebe03" w:themeFill="accent1" w:themeFillTint="EA"/>
      </w:tcPr>
    </w:tblStylePr>
  </w:style>
  <w:style w:type="table" w:styleId="85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cPr>
        <w:shd w:val="clear" w:color="ffffff" w:fill="36b8fb" w:themeFill="accent2" w:themeFillTint="97"/>
      </w:tcPr>
    </w:tblStylePr>
  </w:style>
  <w:style w:type="table" w:styleId="85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cPr>
        <w:shd w:val="clear" w:color="ffffff" w:fill="a43c03" w:themeFill="accent3" w:themeFillTint="FE"/>
      </w:tcPr>
    </w:tblStylePr>
  </w:style>
  <w:style w:type="table" w:styleId="85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cPr>
        <w:shd w:val="clear" w:color="ffffff" w:fill="dc33fa" w:themeFill="accent4" w:themeFillTint="9A"/>
      </w:tcPr>
    </w:tblStylePr>
  </w:style>
  <w:style w:type="table" w:styleId="85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c99c00" w:themeFill="accent5"/>
      </w:tcPr>
    </w:tblStylePr>
    <w:tblStylePr w:type="firstRow">
      <w:rPr>
        <w:color w:val="f2f2f2"/>
        <w:sz w:val="22"/>
      </w:rPr>
      <w:tcPr>
        <w:shd w:val="clear" w:color="ffffff" w:fill="c99c00" w:themeFill="accent5"/>
      </w:tcPr>
    </w:tblStylePr>
    <w:tblStylePr w:type="lastCol">
      <w:rPr>
        <w:color w:val="f2f2f2"/>
        <w:sz w:val="22"/>
      </w:rPr>
      <w:tcPr>
        <w:shd w:val="clear" w:color="ffffff" w:fill="c99c00" w:themeFill="accent5"/>
      </w:tcPr>
    </w:tblStylePr>
    <w:tblStylePr w:type="lastRow">
      <w:rPr>
        <w:color w:val="f2f2f2"/>
        <w:sz w:val="22"/>
      </w:rPr>
      <w:tcPr>
        <w:shd w:val="clear" w:color="ffffff" w:fill="c99c00" w:themeFill="accent5"/>
      </w:tcPr>
    </w:tblStylePr>
  </w:style>
  <w:style w:type="table" w:styleId="85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cPr>
        <w:shd w:val="clear" w:color="ffffff" w:fill="c9211e" w:themeFill="accent6"/>
      </w:tcPr>
    </w:tblStylePr>
    <w:tblStylePr w:type="firstRow">
      <w:rPr>
        <w:color w:val="f2f2f2"/>
        <w:sz w:val="22"/>
      </w:rPr>
      <w:tcPr>
        <w:shd w:val="clear" w:color="ffffff" w:fill="c9211e" w:themeFill="accent6"/>
      </w:tcPr>
    </w:tblStylePr>
    <w:tblStylePr w:type="lastCol">
      <w:rPr>
        <w:color w:val="f2f2f2"/>
        <w:sz w:val="22"/>
      </w:rPr>
      <w:tcPr>
        <w:shd w:val="clear" w:color="ffffff" w:fill="c9211e" w:themeFill="accent6"/>
      </w:tcPr>
    </w:tblStylePr>
    <w:tblStylePr w:type="lastRow">
      <w:rPr>
        <w:color w:val="f2f2f2"/>
        <w:sz w:val="22"/>
      </w:rPr>
      <w:tcPr>
        <w:shd w:val="clear" w:color="ffffff" w:fill="c9211e" w:themeFill="accent6"/>
      </w:tcPr>
    </w:tblStylePr>
  </w:style>
  <w:style w:type="table" w:styleId="856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57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59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0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1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2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3" w:default="1">
    <w:name w:val="Normal Table"/>
    <w:uiPriority w:val="99"/>
    <w:semiHidden/>
    <w:unhideWhenUsed/>
    <w:tblPr/>
  </w:style>
  <w:style w:type="paragraph" w:styleId="864" w:customStyle="1">
    <w:name w:val="Текст в заданном формате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Mono" w:hAnsi="Liberation Mono" w:eastAsia="NSimSun" w:cs="Liberation Mono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lastModifiedBy>SkobelkinaSS</cp:lastModifiedBy>
  <cp:revision>234</cp:revision>
  <dcterms:created xsi:type="dcterms:W3CDTF">2023-03-14T07:45:00Z</dcterms:created>
  <dcterms:modified xsi:type="dcterms:W3CDTF">2025-07-04T07:49:10Z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