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88"/>
        <w:gridCol w:w="44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24 июня 2026 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51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разрешений 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объектов капитального строительства </w:t>
            </w:r>
            <w:r/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9"/>
        <w:jc w:val="both"/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чить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публичные слушания по проектам постановлений                                  Администрации города Костромы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разрешений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              разрешенный вид использования земельных участков или объектов капитального строительства: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номер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44:27:070210:486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располож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енного                       по адресу: Российская Федерация, Костромская область, городской округ                         город Кострома, город Кострома, шоссе Кинешемское, земельный участок 47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1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постановлению);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номер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44:27:040642:5256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располож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енного по адресу: Российская Федерация, Костромская область, городской округ город Кострома, город Кострома,  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улица Советская, земельный участок 107д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2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форм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е собрания участников публичных слушаний по проекту муниципальн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правов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акт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в Адм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инистрации города Костромы.</w:t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</w:p>
    <w:p>
      <w:pPr>
        <w:pStyle w:val="869"/>
        <w:jc w:val="both"/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2. Определить, что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публичные слушания проводятся в пределах </w:t>
        <w:br/>
        <w:t xml:space="preserve">территориальных зон: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зоны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размещения объектов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среднего профессионального и высшего образования Д-2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; з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оны застройки среднеэтажными жилыми домами (от 5 до 8 этажей, включая мансардный) Ж-3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в границах которых находятся земельные участки,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указанные в пункте 1 настоящего постановления.</w:t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3. Опреде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слуша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  <w:br/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u w:val="none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u w:val="none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14 июля 2026 года в период с 16.10 до 1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6.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5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5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7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8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</w:t>
      </w:r>
      <w:r>
        <w:rPr>
          <w:sz w:val="26"/>
          <w:shd w:val="clear" w:color="auto" w:fill="ffffff"/>
          <w14:ligatures w14:val="none"/>
        </w:rPr>
        <w:t xml:space="preserve">рации города Костромы                         Лукачевой М. С.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  <w:t xml:space="preserve">26 июня </w:t>
      </w:r>
      <w:r>
        <w:rPr>
          <w:sz w:val="26"/>
          <w:shd w:val="clear" w:color="auto" w:fill="ffffff"/>
          <w14:ligatures w14:val="none"/>
        </w:rPr>
        <w:t xml:space="preserve">2026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6 июля 2026</w:t>
      </w:r>
      <w:r>
        <w:rPr>
          <w:rFonts w:ascii="Times New Roman" w:hAnsi="Times New Roman"/>
          <w:sz w:val="26"/>
          <w:shd w:val="clear" w:color="auto" w:fill="ffffff"/>
        </w:rPr>
        <w:t xml:space="preserve">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6 июля 2026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  <w:br/>
        <w:t xml:space="preserve">и распространение оповещения о начале публичных слушаний </w:t>
        <w:br/>
        <w:t xml:space="preserve">до 14 июля 2026</w:t>
      </w:r>
      <w:r>
        <w:rPr>
          <w:rFonts w:ascii="Times New Roman" w:hAnsi="Times New Roman" w:cs="Times New Roman"/>
          <w:sz w:val="26"/>
          <w:szCs w:val="26"/>
        </w:rPr>
        <w:t xml:space="preserve">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113" w:right="0" w:firstLine="596"/>
        <w:jc w:val="both"/>
        <w:spacing w:before="0" w:after="0"/>
        <w:widowControl w:val="off"/>
        <w:tabs>
          <w:tab w:val="clear" w:pos="720" w:leader="none"/>
          <w:tab w:val="left" w:pos="8385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8. Определить, что у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частники публичных слушаний,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имеют право вносить предложения и замечания,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касающиеся 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/>
        </w:rPr>
        <w:t xml:space="preserve">о предоставлении разрешения на отклонение от предельных параметров разрешенного строительства,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/>
        </w:rPr>
        <w:t xml:space="preserve">реконструкции объектов капитального строительства,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</w:rPr>
        <w:t xml:space="preserve">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в порядке, сроки и в форме, указанные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оповещении о начале публичных слушаний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92"/>
        <w:ind w:left="113" w:right="0" w:firstLine="596"/>
        <w:jc w:val="both"/>
        <w:spacing w:before="0" w:after="0"/>
        <w:widowControl/>
        <w:rPr>
          <w:rFonts w:ascii="Times New Roman" w:hAnsi="Times New Roman" w:cs="Times New Roman"/>
          <w:b w:val="0"/>
          <w:bCs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</w:r>
      <w:r>
        <w:rPr>
          <w:rFonts w:ascii="Times New Roman" w:hAnsi="Times New Roman" w:cs="Times New Roman"/>
          <w:b w:val="0"/>
          <w:bCs w:val="0"/>
          <w:sz w:val="26"/>
          <w:szCs w:val="24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Глава города Костромы                                                                           О. В. Болоховец</w:t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</w:p>
    <w:p>
      <w:pPr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103</cp:revision>
  <dcterms:created xsi:type="dcterms:W3CDTF">2014-03-21T13:39:00Z</dcterms:created>
  <dcterms:modified xsi:type="dcterms:W3CDTF">2026-06-25T15:09:31Z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