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numPr>
          <w:ilvl w:val="0"/>
          <w:numId w:val="0"/>
        </w:numPr>
        <w:contextualSpacing/>
        <w:ind w:left="709" w:firstLine="0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Пояснительная записка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numPr>
          <w:ilvl w:val="0"/>
          <w:numId w:val="0"/>
        </w:numPr>
        <w:contextualSpacing/>
        <w:ind w:left="709" w:firstLine="0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 проекту постановления Администрации города Костромы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numPr>
          <w:ilvl w:val="0"/>
          <w:numId w:val="0"/>
        </w:numPr>
        <w:contextualSpacing/>
        <w:ind w:left="31" w:firstLine="0"/>
        <w:jc w:val="center"/>
        <w:spacing w:line="240" w:lineRule="auto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sz w:val="26"/>
          <w:szCs w:val="26"/>
        </w:rPr>
      </w:r>
      <w:r>
        <w:rPr>
          <w:rFonts w:ascii="Times New Roman" w:hAnsi="Times New Roman" w:cs="Times New Roman"/>
          <w:b/>
          <w:sz w:val="26"/>
        </w:rPr>
        <w:t xml:space="preserve">Об </w:t>
      </w:r>
      <w:r>
        <w:rPr>
          <w:rFonts w:ascii="Times New Roman" w:hAnsi="Times New Roman" w:cs="Times New Roman"/>
          <w:b/>
          <w:sz w:val="26"/>
        </w:rPr>
        <w:t xml:space="preserve">утверждении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документации по планировке территории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в границах промышленных и коммунально-складских зон размещения объектов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ru-RU"/>
        </w:rPr>
        <w:t xml:space="preserve"> и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en-US"/>
        </w:rPr>
        <w:t xml:space="preserve"> V</w:t>
      </w:r>
      <w:bookmarkStart w:id="0" w:name="_GoBack"/>
      <w:r>
        <w:rPr>
          <w:b/>
          <w:bCs/>
          <w:i w:val="0"/>
          <w:iCs w:val="0"/>
        </w:rPr>
      </w:r>
      <w:bookmarkEnd w:id="0"/>
      <w:r>
        <w:rPr>
          <w:rFonts w:ascii="Times New Roman" w:hAnsi="Times New Roman"/>
          <w:b/>
          <w:bCs/>
          <w:i w:val="0"/>
          <w:iCs w:val="0"/>
          <w:sz w:val="26"/>
          <w:szCs w:val="26"/>
        </w:rPr>
        <w:t xml:space="preserve"> классов опасности и зоны градостроительных преобразований в общественно-деловые зоны по улицам Городской и Московской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18"/>
        <w:numPr>
          <w:ilvl w:val="0"/>
          <w:numId w:val="0"/>
        </w:numPr>
        <w:ind w:left="708" w:firstLine="0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1) Сведения о проблеме, на решение которой направлено предлагаемое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правовое регулирование: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widowControl w:val="off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Проблема возникла в связи с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намерением заинтересованного лица установить границы зоны планируемого размещения объектов делового управления, сформировать земельные участки под объектами делового управления, производственного назначения, общественно-делового управления территорий общего пользования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2) Сведения о цели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Цел</w:t>
      </w:r>
      <w:r>
        <w:rPr>
          <w:rFonts w:ascii="Times New Roman" w:hAnsi="Times New Roman"/>
          <w:sz w:val="26"/>
          <w:szCs w:val="26"/>
          <w:lang w:eastAsia="en-US"/>
        </w:rPr>
        <w:t xml:space="preserve">ью принятия Проекта постановления Админис</w:t>
      </w:r>
      <w:r>
        <w:rPr>
          <w:rFonts w:ascii="Times New Roman" w:hAnsi="Times New Roman"/>
          <w:sz w:val="26"/>
          <w:szCs w:val="26"/>
          <w:lang w:eastAsia="en-US"/>
        </w:rPr>
        <w:t xml:space="preserve">трации города Костромы являе</w:t>
      </w:r>
      <w:r>
        <w:rPr>
          <w:rFonts w:ascii="Times New Roman" w:hAnsi="Times New Roman"/>
          <w:sz w:val="26"/>
          <w:szCs w:val="26"/>
          <w:lang w:eastAsia="en-US"/>
        </w:rPr>
        <w:t xml:space="preserve">тся</w:t>
      </w:r>
      <w:r>
        <w:rPr>
          <w:rFonts w:ascii="Times New Roman" w:hAnsi="Times New Roman"/>
          <w:sz w:val="26"/>
          <w:szCs w:val="26"/>
        </w:rPr>
      </w:r>
      <w:r>
        <w:rPr>
          <w14:ligatures w14:val="none"/>
        </w:rPr>
        <w:t xml:space="preserve"> утверждение документации по планировке территории, предусматривающей установление зоны планируемого размещения объектов делового управления</w:t>
      </w:r>
      <w:r>
        <w:rPr>
          <w14:ligatures w14:val="none"/>
        </w:rPr>
        <w:t xml:space="preserve">, реализация положений Генерального плана города Костромы в части установления видов разрешенного использования и предельных параметров разрешенного строительства в зоне градостроительных преобразований во многофункциональную общественно-деловую зону.</w:t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widowControl w:val="off"/>
        <w:tabs>
          <w:tab w:val="left" w:pos="709" w:leader="none"/>
          <w:tab w:val="left" w:pos="1020" w:leader="none"/>
        </w:tabs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3) Описание основных групп субъектов инвестиционной, предпринимательской и иной деятельности, интересы которых будут затронуты предлагаемым правовым регулированием.</w:t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8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</w:r>
      <w:r>
        <w:rPr>
          <w:rFonts w:ascii="Times New Roman" w:hAnsi="Times New Roman"/>
          <w:sz w:val="26"/>
          <w:szCs w:val="26"/>
        </w:rPr>
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</w:r>
      <w:r>
        <w:rPr>
          <w:rFonts w:ascii="Times New Roman" w:hAnsi="Times New Roman"/>
          <w:sz w:val="26"/>
          <w:szCs w:val="26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4) 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Так как </w:t>
      </w:r>
      <w:r>
        <w:rPr>
          <w:rFonts w:ascii="Times New Roman" w:hAnsi="Times New Roman"/>
          <w:sz w:val="26"/>
          <w:szCs w:val="26"/>
        </w:rPr>
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</w:r>
      <w:r>
        <w:rPr>
          <w:rFonts w:ascii="Times New Roman" w:hAnsi="Times New Roman"/>
          <w:sz w:val="26"/>
          <w:szCs w:val="26"/>
        </w:rPr>
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</w:r>
      <w:r>
        <w:rPr>
          <w:rFonts w:ascii="Times New Roman" w:hAnsi="Times New Roman"/>
          <w:sz w:val="26"/>
          <w:szCs w:val="26"/>
          <w:lang w:eastAsia="en-US"/>
        </w:rPr>
        <w:t xml:space="preserve">в отношении разработанного проекта установлена средняя степень регулирующего воздействия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5) 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сравнительный анализ возможных вариантов решения проблемы, обоснование и 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Так как выделение элемента планировочной структуры, установление и изменение красных линий улиц, установление зон планируемого размещения объектов капитального строительства</w:t>
      </w:r>
      <w:r>
        <w:rPr>
          <w:rFonts w:ascii="Times New Roman" w:hAnsi="Times New Roman"/>
          <w:sz w:val="26"/>
          <w:szCs w:val="26"/>
          <w:lang w:eastAsia="en-US"/>
        </w:rPr>
        <w:t xml:space="preserve">,</w:t>
      </w:r>
      <w:r>
        <w:rPr>
          <w:rFonts w:ascii="Times New Roman" w:hAnsi="Times New Roman"/>
          <w:sz w:val="26"/>
          <w:szCs w:val="26"/>
          <w:lang w:eastAsia="en-US"/>
        </w:rPr>
        <w:t xml:space="preserve"> возможно только путем подготовки документации по планировке территории,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иных способов решения проблемы не существует.</w:t>
      </w:r>
      <w:r>
        <w:rPr>
          <w:rFonts w:ascii="Times New Roman" w:hAnsi="Times New Roman" w:eastAsia="Times New Roman"/>
          <w:i/>
          <w:sz w:val="26"/>
          <w:szCs w:val="26"/>
          <w:lang w:eastAsia="ar-SA"/>
        </w:rPr>
      </w:r>
      <w:r>
        <w:rPr>
          <w:rFonts w:ascii="Times New Roman" w:hAnsi="Times New Roman" w:eastAsia="Times New Roman"/>
          <w:i/>
          <w:sz w:val="26"/>
          <w:szCs w:val="26"/>
          <w:lang w:eastAsia="ar-SA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6)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Достигнутым результатом решения данной про</w:t>
      </w:r>
      <w:r>
        <w:rPr>
          <w:rFonts w:ascii="Times New Roman" w:hAnsi="Times New Roman"/>
          <w:sz w:val="26"/>
          <w:szCs w:val="26"/>
        </w:rPr>
        <w:t xml:space="preserve">блемы является подготовленный Проект, предусматривающий установление зоны планируемого размещения объектов делового управления, </w:t>
      </w:r>
      <w:r>
        <w:rPr>
          <w:rFonts w:ascii="Times New Roman" w:hAnsi="Times New Roman"/>
          <w:sz w:val="26"/>
          <w:szCs w:val="26"/>
        </w:rPr>
        <w:t xml:space="preserve">установление границ зон объектов общественно-делового назначения</w:t>
      </w:r>
      <w:r/>
      <w:r>
        <w:rPr>
          <w:rFonts w:ascii="Times New Roman" w:hAnsi="Times New Roman"/>
          <w:sz w:val="26"/>
          <w:szCs w:val="26"/>
        </w:rPr>
        <w:t xml:space="preserve">, а также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pStyle w:val="818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7) В рамках проведения оценки регулирующего воздействия в период с </w:t>
      </w:r>
      <w:r>
        <w:rPr>
          <w:rFonts w:ascii="Times New Roman" w:hAnsi="Times New Roman"/>
          <w:sz w:val="26"/>
          <w:szCs w:val="26"/>
        </w:rPr>
        <w:t xml:space="preserve">7 по 11 октября 2024</w:t>
      </w:r>
      <w:r>
        <w:rPr>
          <w:rFonts w:ascii="Times New Roman" w:hAnsi="Times New Roman"/>
          <w:sz w:val="26"/>
          <w:szCs w:val="26"/>
        </w:rPr>
        <w:t xml:space="preserve"> года предлагаемый Проект размещ</w:t>
      </w:r>
      <w:r>
        <w:rPr>
          <w:rFonts w:ascii="Times New Roman" w:hAnsi="Times New Roman"/>
          <w:sz w:val="26"/>
          <w:szCs w:val="26"/>
        </w:rPr>
        <w:t xml:space="preserve">ается</w:t>
      </w:r>
      <w:r>
        <w:rPr>
          <w:rFonts w:ascii="Times New Roman" w:hAnsi="Times New Roman"/>
          <w:sz w:val="26"/>
          <w:szCs w:val="26"/>
        </w:rPr>
        <w:t xml:space="preserve"> на сайте Администрации города Костромы в информационно-телекоммуникационной сети «Интернет» для проведения публичных консультаций. </w:t>
      </w:r>
      <w:r>
        <w:rPr>
          <w:rFonts w:ascii="Times New Roman" w:hAnsi="Times New Roman"/>
          <w:sz w:val="26"/>
          <w:szCs w:val="26"/>
        </w:rPr>
        <w:t xml:space="preserve">В рамках проведения</w:t>
      </w:r>
      <w:r>
        <w:rPr>
          <w:rFonts w:ascii="Times New Roman" w:hAnsi="Times New Roman"/>
          <w:sz w:val="26"/>
          <w:szCs w:val="26"/>
        </w:rPr>
        <w:t xml:space="preserve"> публичных консультаций </w:t>
      </w:r>
      <w:r>
        <w:rPr>
          <w:rFonts w:ascii="Times New Roman" w:hAnsi="Times New Roman"/>
          <w:sz w:val="26"/>
          <w:szCs w:val="26"/>
        </w:rPr>
        <w:t xml:space="preserve">принимаются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и замечани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6" w:hanging="1155"/>
        <w:tabs>
          <w:tab w:val="num" w:pos="0" w:leader="none"/>
        </w:tabs>
      </w:pPr>
      <w:rPr>
        <w:rFonts w:ascii="Times New Roman" w:hAnsi="Times New Roman" w:eastAsia="Calibri"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pStyle w:val="81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18"/>
    <w:next w:val="818"/>
    <w:link w:val="8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818"/>
    <w:next w:val="818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818"/>
    <w:next w:val="818"/>
    <w:link w:val="8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18"/>
    <w:next w:val="818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18"/>
    <w:next w:val="818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18"/>
    <w:next w:val="818"/>
    <w:link w:val="8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18"/>
    <w:next w:val="818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18"/>
    <w:next w:val="818"/>
    <w:link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18"/>
    <w:next w:val="818"/>
    <w:link w:val="8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0">
    <w:name w:val="Title"/>
    <w:basedOn w:val="818"/>
    <w:next w:val="818"/>
    <w:link w:val="8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1">
    <w:name w:val="Subtitle"/>
    <w:basedOn w:val="818"/>
    <w:next w:val="818"/>
    <w:link w:val="865"/>
    <w:uiPriority w:val="11"/>
    <w:qFormat/>
    <w:pPr>
      <w:spacing w:before="200" w:after="200"/>
    </w:pPr>
    <w:rPr>
      <w:sz w:val="24"/>
      <w:szCs w:val="24"/>
    </w:rPr>
  </w:style>
  <w:style w:type="paragraph" w:styleId="672">
    <w:name w:val="Header"/>
    <w:basedOn w:val="818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3">
    <w:name w:val="Footer"/>
    <w:basedOn w:val="818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4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3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1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reference"/>
    <w:basedOn w:val="852"/>
    <w:uiPriority w:val="99"/>
    <w:unhideWhenUsed/>
    <w:rPr>
      <w:vertAlign w:val="superscript"/>
    </w:rPr>
  </w:style>
  <w:style w:type="paragraph" w:styleId="805">
    <w:name w:val="endnote text"/>
    <w:basedOn w:val="818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52"/>
    <w:uiPriority w:val="99"/>
    <w:semiHidden/>
    <w:unhideWhenUsed/>
    <w:rPr>
      <w:vertAlign w:val="superscript"/>
    </w:rPr>
  </w:style>
  <w:style w:type="paragraph" w:styleId="808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character" w:styleId="818" w:default="1">
    <w:name w:val="Normal"/>
    <w:next w:val="818"/>
    <w:link w:val="818"/>
    <w:qFormat/>
    <w:pPr>
      <w:numPr>
        <w:ilvl w:val="0"/>
        <w:numId w:val="4"/>
      </w:numPr>
      <w:ind w:left="0" w:firstLine="709"/>
      <w:jc w:val="both"/>
      <w:keepLines/>
      <w:spacing w:after="160" w:line="252" w:lineRule="auto"/>
      <w:widowControl w:val="off"/>
      <w:tabs>
        <w:tab w:val="left" w:pos="567" w:leader="none"/>
        <w:tab w:val="left" w:pos="1134" w:leader="none"/>
      </w:tabs>
    </w:pPr>
    <w:rPr>
      <w:rFonts w:ascii="Times New Roman" w:hAnsi="Times New Roman" w:eastAsia="Calibri" w:cs="Times New Roman"/>
      <w:sz w:val="26"/>
      <w:szCs w:val="26"/>
      <w:lang w:val="ru-RU" w:eastAsia="zh-CN" w:bidi="ar-SA"/>
    </w:rPr>
  </w:style>
  <w:style w:type="paragraph" w:styleId="819">
    <w:name w:val="Заголовок 1"/>
    <w:next w:val="877"/>
    <w:link w:val="818"/>
    <w:qFormat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 w:cs="Arial"/>
      <w:sz w:val="40"/>
      <w:szCs w:val="40"/>
      <w:lang w:val="ru-RU" w:eastAsia="en-US" w:bidi="en-US"/>
    </w:rPr>
  </w:style>
  <w:style w:type="paragraph" w:styleId="820">
    <w:name w:val="Заголовок 2"/>
    <w:next w:val="877"/>
    <w:link w:val="818"/>
    <w:qFormat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 w:cs="Arial"/>
      <w:sz w:val="34"/>
      <w:szCs w:val="22"/>
      <w:lang w:val="ru-RU" w:eastAsia="en-US" w:bidi="en-US"/>
    </w:rPr>
  </w:style>
  <w:style w:type="paragraph" w:styleId="821">
    <w:name w:val="Заголовок 3"/>
    <w:next w:val="877"/>
    <w:link w:val="818"/>
    <w:qFormat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 w:cs="Arial"/>
      <w:sz w:val="30"/>
      <w:szCs w:val="30"/>
      <w:lang w:val="ru-RU" w:eastAsia="en-US" w:bidi="en-US"/>
    </w:rPr>
  </w:style>
  <w:style w:type="paragraph" w:styleId="822">
    <w:name w:val="Заголовок 4"/>
    <w:next w:val="877"/>
    <w:link w:val="818"/>
    <w:qFormat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 w:cs="Arial"/>
      <w:b/>
      <w:bCs/>
      <w:sz w:val="26"/>
      <w:szCs w:val="26"/>
      <w:lang w:val="ru-RU" w:eastAsia="en-US" w:bidi="en-US"/>
    </w:rPr>
  </w:style>
  <w:style w:type="paragraph" w:styleId="823">
    <w:name w:val="Заголовок 5"/>
    <w:next w:val="877"/>
    <w:link w:val="818"/>
    <w:qFormat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 w:cs="Arial"/>
      <w:b/>
      <w:bCs/>
      <w:sz w:val="24"/>
      <w:szCs w:val="24"/>
      <w:lang w:val="ru-RU" w:eastAsia="en-US" w:bidi="en-US"/>
    </w:rPr>
  </w:style>
  <w:style w:type="paragraph" w:styleId="824">
    <w:name w:val="Заголовок 6"/>
    <w:next w:val="877"/>
    <w:link w:val="818"/>
    <w:qFormat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 w:cs="Arial"/>
      <w:b/>
      <w:bCs/>
      <w:sz w:val="22"/>
      <w:szCs w:val="22"/>
      <w:lang w:val="ru-RU" w:eastAsia="en-US" w:bidi="en-US"/>
    </w:rPr>
  </w:style>
  <w:style w:type="paragraph" w:styleId="825">
    <w:name w:val="Заголовок 7"/>
    <w:next w:val="877"/>
    <w:link w:val="818"/>
    <w:qFormat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eastAsia="en-US" w:bidi="en-US"/>
    </w:rPr>
  </w:style>
  <w:style w:type="paragraph" w:styleId="826">
    <w:name w:val="Заголовок 8"/>
    <w:next w:val="877"/>
    <w:link w:val="818"/>
    <w:qFormat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 w:cs="Arial"/>
      <w:i/>
      <w:iCs/>
      <w:sz w:val="22"/>
      <w:szCs w:val="22"/>
      <w:lang w:val="ru-RU" w:eastAsia="en-US" w:bidi="en-US"/>
    </w:rPr>
  </w:style>
  <w:style w:type="paragraph" w:styleId="827">
    <w:name w:val="Заголовок 9"/>
    <w:next w:val="877"/>
    <w:link w:val="818"/>
    <w:qFormat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 w:cs="Arial"/>
      <w:i/>
      <w:iCs/>
      <w:sz w:val="21"/>
      <w:szCs w:val="21"/>
      <w:lang w:val="ru-RU" w:eastAsia="en-US" w:bidi="en-US"/>
    </w:rPr>
  </w:style>
  <w:style w:type="character" w:styleId="828">
    <w:name w:val="Основной шрифт абзаца"/>
    <w:next w:val="828"/>
    <w:link w:val="818"/>
    <w:uiPriority w:val="1"/>
    <w:unhideWhenUsed/>
  </w:style>
  <w:style w:type="table" w:styleId="829">
    <w:name w:val="Обычная таблица"/>
    <w:next w:val="829"/>
    <w:link w:val="818"/>
    <w:uiPriority w:val="99"/>
    <w:semiHidden/>
    <w:unhideWhenUsed/>
    <w:tblPr/>
  </w:style>
  <w:style w:type="numbering" w:styleId="830">
    <w:name w:val="Нет списка"/>
    <w:next w:val="830"/>
    <w:link w:val="818"/>
    <w:uiPriority w:val="99"/>
    <w:semiHidden/>
    <w:unhideWhenUsed/>
  </w:style>
  <w:style w:type="character" w:styleId="831">
    <w:name w:val="WW8Num1z0"/>
    <w:next w:val="831"/>
    <w:link w:val="818"/>
  </w:style>
  <w:style w:type="character" w:styleId="832">
    <w:name w:val="WW8Num1z1"/>
    <w:next w:val="832"/>
    <w:link w:val="818"/>
  </w:style>
  <w:style w:type="character" w:styleId="833">
    <w:name w:val="WW8Num1z2"/>
    <w:next w:val="833"/>
    <w:link w:val="818"/>
  </w:style>
  <w:style w:type="character" w:styleId="834">
    <w:name w:val="WW8Num1z3"/>
    <w:next w:val="834"/>
    <w:link w:val="818"/>
  </w:style>
  <w:style w:type="character" w:styleId="835">
    <w:name w:val="WW8Num1z4"/>
    <w:next w:val="835"/>
    <w:link w:val="818"/>
  </w:style>
  <w:style w:type="character" w:styleId="836">
    <w:name w:val="WW8Num1z5"/>
    <w:next w:val="836"/>
    <w:link w:val="818"/>
  </w:style>
  <w:style w:type="character" w:styleId="837">
    <w:name w:val="WW8Num1z6"/>
    <w:next w:val="837"/>
    <w:link w:val="818"/>
  </w:style>
  <w:style w:type="character" w:styleId="838">
    <w:name w:val="WW8Num1z7"/>
    <w:next w:val="838"/>
    <w:link w:val="818"/>
  </w:style>
  <w:style w:type="character" w:styleId="839">
    <w:name w:val="WW8Num1z8"/>
    <w:next w:val="839"/>
    <w:link w:val="818"/>
  </w:style>
  <w:style w:type="character" w:styleId="840">
    <w:name w:val="WW8Num2z0"/>
    <w:next w:val="840"/>
    <w:link w:val="818"/>
    <w:rPr>
      <w:rFonts w:ascii="Times New Roman" w:hAnsi="Times New Roman" w:eastAsia="Calibri" w:cs="Times New Roman"/>
      <w:sz w:val="26"/>
    </w:rPr>
  </w:style>
  <w:style w:type="character" w:styleId="841">
    <w:name w:val="WW8Num2z1"/>
    <w:next w:val="841"/>
    <w:link w:val="818"/>
  </w:style>
  <w:style w:type="character" w:styleId="842">
    <w:name w:val="WW8Num2z2"/>
    <w:next w:val="842"/>
    <w:link w:val="818"/>
  </w:style>
  <w:style w:type="character" w:styleId="843">
    <w:name w:val="WW8Num2z3"/>
    <w:next w:val="843"/>
    <w:link w:val="818"/>
  </w:style>
  <w:style w:type="character" w:styleId="844">
    <w:name w:val="WW8Num2z4"/>
    <w:next w:val="844"/>
    <w:link w:val="818"/>
  </w:style>
  <w:style w:type="character" w:styleId="845">
    <w:name w:val="WW8Num2z5"/>
    <w:next w:val="845"/>
    <w:link w:val="818"/>
  </w:style>
  <w:style w:type="character" w:styleId="846">
    <w:name w:val="WW8Num2z6"/>
    <w:next w:val="846"/>
    <w:link w:val="818"/>
  </w:style>
  <w:style w:type="character" w:styleId="847">
    <w:name w:val="WW8Num2z7"/>
    <w:next w:val="847"/>
    <w:link w:val="818"/>
  </w:style>
  <w:style w:type="character" w:styleId="848">
    <w:name w:val="WW8Num2z8"/>
    <w:next w:val="848"/>
    <w:link w:val="818"/>
  </w:style>
  <w:style w:type="character" w:styleId="849">
    <w:name w:val="Основной шрифт абзаца2"/>
    <w:next w:val="849"/>
    <w:link w:val="818"/>
  </w:style>
  <w:style w:type="character" w:styleId="850">
    <w:name w:val="Текст выноски Знак"/>
    <w:next w:val="850"/>
    <w:link w:val="818"/>
    <w:rPr>
      <w:rFonts w:ascii="Segoe UI" w:hAnsi="Segoe UI" w:cs="Segoe UI"/>
      <w:sz w:val="18"/>
      <w:szCs w:val="18"/>
    </w:rPr>
  </w:style>
  <w:style w:type="character" w:styleId="851">
    <w:name w:val="ListLabel 1"/>
    <w:next w:val="851"/>
    <w:link w:val="818"/>
    <w:rPr>
      <w:rFonts w:ascii="Times New Roman" w:hAnsi="Times New Roman" w:eastAsia="Calibri" w:cs="Times New Roman"/>
      <w:sz w:val="26"/>
    </w:rPr>
  </w:style>
  <w:style w:type="character" w:styleId="852" w:default="1">
    <w:name w:val="Default Paragraph Font"/>
    <w:next w:val="852"/>
    <w:link w:val="818"/>
  </w:style>
  <w:style w:type="character" w:styleId="853">
    <w:name w:val="Нижний колонтитул Знак"/>
    <w:next w:val="853"/>
    <w:link w:val="818"/>
    <w:rPr>
      <w:rFonts w:ascii="Arial" w:hAnsi="Arial" w:eastAsia="Times New Roman" w:cs="Arial"/>
      <w:sz w:val="18"/>
      <w:szCs w:val="18"/>
    </w:rPr>
  </w:style>
  <w:style w:type="character" w:styleId="854">
    <w:name w:val="Верхний колонтитул Знак"/>
    <w:next w:val="854"/>
    <w:link w:val="818"/>
    <w:rPr>
      <w:rFonts w:ascii="Arial" w:hAnsi="Arial" w:eastAsia="Times New Roman" w:cs="Arial"/>
      <w:sz w:val="18"/>
      <w:szCs w:val="18"/>
    </w:rPr>
  </w:style>
  <w:style w:type="character" w:styleId="855">
    <w:name w:val="Основной шрифт абзаца1"/>
    <w:next w:val="855"/>
    <w:link w:val="818"/>
  </w:style>
  <w:style w:type="character" w:styleId="856">
    <w:name w:val="Absatz-Standardschriftart"/>
    <w:next w:val="856"/>
    <w:link w:val="818"/>
  </w:style>
  <w:style w:type="character" w:styleId="857">
    <w:name w:val="Footnote Characters"/>
    <w:next w:val="857"/>
    <w:link w:val="818"/>
    <w:rPr>
      <w:vertAlign w:val="superscript"/>
    </w:rPr>
  </w:style>
  <w:style w:type="character" w:styleId="858">
    <w:name w:val="Символ сноски"/>
    <w:next w:val="858"/>
    <w:link w:val="818"/>
    <w:rPr>
      <w:vertAlign w:val="superscript"/>
    </w:rPr>
  </w:style>
  <w:style w:type="character" w:styleId="859">
    <w:name w:val="Footnote Text Char"/>
    <w:next w:val="859"/>
    <w:link w:val="818"/>
    <w:rPr>
      <w:sz w:val="18"/>
    </w:rPr>
  </w:style>
  <w:style w:type="character" w:styleId="860">
    <w:name w:val="Гиперссылка"/>
    <w:next w:val="860"/>
    <w:link w:val="818"/>
    <w:rPr>
      <w:color w:val="0000ff"/>
      <w:u w:val="single"/>
    </w:rPr>
  </w:style>
  <w:style w:type="character" w:styleId="861">
    <w:name w:val="Footer Char"/>
    <w:next w:val="861"/>
    <w:link w:val="818"/>
  </w:style>
  <w:style w:type="character" w:styleId="862">
    <w:name w:val="Header Char"/>
    <w:next w:val="862"/>
    <w:link w:val="818"/>
  </w:style>
  <w:style w:type="character" w:styleId="863">
    <w:name w:val="Intense Quote Char"/>
    <w:next w:val="863"/>
    <w:link w:val="818"/>
    <w:rPr>
      <w:i/>
    </w:rPr>
  </w:style>
  <w:style w:type="character" w:styleId="864">
    <w:name w:val="Quote Char"/>
    <w:next w:val="864"/>
    <w:link w:val="818"/>
    <w:rPr>
      <w:i/>
    </w:rPr>
  </w:style>
  <w:style w:type="character" w:styleId="865">
    <w:name w:val="Subtitle Char"/>
    <w:next w:val="865"/>
    <w:link w:val="818"/>
    <w:rPr>
      <w:sz w:val="24"/>
      <w:szCs w:val="24"/>
    </w:rPr>
  </w:style>
  <w:style w:type="character" w:styleId="866">
    <w:name w:val="Title Char"/>
    <w:next w:val="866"/>
    <w:link w:val="818"/>
    <w:rPr>
      <w:sz w:val="48"/>
      <w:szCs w:val="48"/>
    </w:rPr>
  </w:style>
  <w:style w:type="character" w:styleId="867">
    <w:name w:val="Heading 9 Char"/>
    <w:next w:val="867"/>
    <w:link w:val="818"/>
    <w:rPr>
      <w:rFonts w:ascii="Arial" w:hAnsi="Arial" w:eastAsia="Arial" w:cs="Arial"/>
      <w:i/>
      <w:iCs/>
      <w:sz w:val="21"/>
      <w:szCs w:val="21"/>
    </w:rPr>
  </w:style>
  <w:style w:type="character" w:styleId="868">
    <w:name w:val="Heading 8 Char"/>
    <w:next w:val="868"/>
    <w:link w:val="818"/>
    <w:rPr>
      <w:rFonts w:ascii="Arial" w:hAnsi="Arial" w:eastAsia="Arial" w:cs="Arial"/>
      <w:i/>
      <w:iCs/>
      <w:sz w:val="22"/>
      <w:szCs w:val="22"/>
    </w:rPr>
  </w:style>
  <w:style w:type="character" w:styleId="869">
    <w:name w:val="Heading 7 Char"/>
    <w:next w:val="869"/>
    <w:link w:val="818"/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6 Char"/>
    <w:next w:val="870"/>
    <w:link w:val="818"/>
    <w:rPr>
      <w:rFonts w:ascii="Arial" w:hAnsi="Arial" w:eastAsia="Arial" w:cs="Arial"/>
      <w:b/>
      <w:bCs/>
      <w:sz w:val="22"/>
      <w:szCs w:val="22"/>
    </w:rPr>
  </w:style>
  <w:style w:type="character" w:styleId="871">
    <w:name w:val="Heading 5 Char"/>
    <w:next w:val="871"/>
    <w:link w:val="818"/>
    <w:rPr>
      <w:rFonts w:ascii="Arial" w:hAnsi="Arial" w:eastAsia="Arial" w:cs="Arial"/>
      <w:b/>
      <w:bCs/>
      <w:sz w:val="24"/>
      <w:szCs w:val="24"/>
    </w:rPr>
  </w:style>
  <w:style w:type="character" w:styleId="872">
    <w:name w:val="Heading 4 Char"/>
    <w:next w:val="872"/>
    <w:link w:val="818"/>
    <w:rPr>
      <w:rFonts w:ascii="Arial" w:hAnsi="Arial" w:eastAsia="Arial" w:cs="Arial"/>
      <w:b/>
      <w:bCs/>
      <w:sz w:val="26"/>
      <w:szCs w:val="26"/>
    </w:rPr>
  </w:style>
  <w:style w:type="character" w:styleId="873">
    <w:name w:val="Heading 3 Char"/>
    <w:next w:val="873"/>
    <w:link w:val="818"/>
    <w:rPr>
      <w:rFonts w:ascii="Arial" w:hAnsi="Arial" w:eastAsia="Arial" w:cs="Arial"/>
      <w:sz w:val="30"/>
      <w:szCs w:val="30"/>
    </w:rPr>
  </w:style>
  <w:style w:type="character" w:styleId="874">
    <w:name w:val="Heading 2 Char"/>
    <w:next w:val="874"/>
    <w:link w:val="818"/>
    <w:rPr>
      <w:rFonts w:ascii="Arial" w:hAnsi="Arial" w:eastAsia="Arial" w:cs="Arial"/>
      <w:sz w:val="34"/>
    </w:rPr>
  </w:style>
  <w:style w:type="character" w:styleId="875">
    <w:name w:val="Heading 1 Char"/>
    <w:next w:val="875"/>
    <w:link w:val="818"/>
    <w:rPr>
      <w:rFonts w:ascii="Arial" w:hAnsi="Arial" w:eastAsia="Arial" w:cs="Arial"/>
      <w:sz w:val="40"/>
      <w:szCs w:val="40"/>
    </w:rPr>
  </w:style>
  <w:style w:type="paragraph" w:styleId="876">
    <w:name w:val="Заголовок1"/>
    <w:basedOn w:val="818"/>
    <w:next w:val="877"/>
    <w:link w:val="81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7">
    <w:name w:val="Основной текст"/>
    <w:basedOn w:val="818"/>
    <w:next w:val="877"/>
    <w:link w:val="818"/>
    <w:pPr>
      <w:spacing w:before="0" w:after="140" w:line="276" w:lineRule="auto"/>
    </w:pPr>
  </w:style>
  <w:style w:type="paragraph" w:styleId="878">
    <w:name w:val="Список"/>
    <w:basedOn w:val="877"/>
    <w:next w:val="878"/>
    <w:link w:val="818"/>
    <w:rPr>
      <w:rFonts w:cs="Arial"/>
    </w:rPr>
  </w:style>
  <w:style w:type="paragraph" w:styleId="879">
    <w:name w:val="Название объекта"/>
    <w:basedOn w:val="818"/>
    <w:next w:val="879"/>
    <w:link w:val="81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0">
    <w:name w:val="Указатель2"/>
    <w:basedOn w:val="818"/>
    <w:next w:val="880"/>
    <w:link w:val="818"/>
    <w:pPr>
      <w:suppressLineNumbers/>
    </w:pPr>
    <w:rPr>
      <w:rFonts w:cs="Arial"/>
    </w:rPr>
  </w:style>
  <w:style w:type="paragraph" w:styleId="881">
    <w:name w:val="ConsPlusNormal"/>
    <w:next w:val="881"/>
    <w:link w:val="818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82">
    <w:name w:val="Текст выноски"/>
    <w:basedOn w:val="818"/>
    <w:next w:val="882"/>
    <w:link w:val="8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3">
    <w:name w:val="Обычный (веб)"/>
    <w:basedOn w:val="818"/>
    <w:next w:val="883"/>
    <w:link w:val="818"/>
    <w:pPr>
      <w:spacing w:before="280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4">
    <w:name w:val="ConsPlusNonformat"/>
    <w:next w:val="884"/>
    <w:link w:val="818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885">
    <w:name w:val="Body Text Indent 2"/>
    <w:basedOn w:val="818"/>
    <w:next w:val="885"/>
    <w:link w:val="818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886">
    <w:name w:val="List Paragraph"/>
    <w:basedOn w:val="818"/>
    <w:next w:val="886"/>
    <w:link w:val="818"/>
    <w:pPr>
      <w:contextualSpacing/>
      <w:ind w:left="720" w:right="0" w:firstLine="0"/>
      <w:spacing w:before="0" w:after="0"/>
      <w:shd w:val="clear" w:color="auto" w:fill="ffffff"/>
    </w:pPr>
  </w:style>
  <w:style w:type="paragraph" w:styleId="887">
    <w:name w:val="Содержимое таблицы"/>
    <w:basedOn w:val="818"/>
    <w:next w:val="887"/>
    <w:link w:val="818"/>
    <w:pPr>
      <w:suppressLineNumbers/>
    </w:pPr>
  </w:style>
  <w:style w:type="paragraph" w:styleId="888">
    <w:name w:val="Заголовок таблицы"/>
    <w:basedOn w:val="887"/>
    <w:next w:val="888"/>
    <w:link w:val="818"/>
    <w:pPr>
      <w:jc w:val="center"/>
      <w:shd w:val="clear" w:color="auto" w:fill="ffffff"/>
    </w:pPr>
    <w:rPr>
      <w:b/>
      <w:bCs/>
    </w:rPr>
  </w:style>
  <w:style w:type="paragraph" w:styleId="889">
    <w:name w:val="Обычный1"/>
    <w:next w:val="889"/>
    <w:link w:val="818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90">
    <w:name w:val="Указатель1"/>
    <w:basedOn w:val="889"/>
    <w:next w:val="890"/>
    <w:link w:val="818"/>
    <w:pPr>
      <w:shd w:val="clear" w:color="auto" w:fill="ffffff"/>
    </w:pPr>
  </w:style>
  <w:style w:type="paragraph" w:styleId="891">
    <w:name w:val="Название1"/>
    <w:basedOn w:val="889"/>
    <w:next w:val="891"/>
    <w:link w:val="818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92">
    <w:name w:val="TOC Heading"/>
    <w:next w:val="892"/>
    <w:link w:val="818"/>
    <w:pPr>
      <w:shd w:val="clear" w:color="auto" w:fill="ffffff"/>
    </w:pPr>
    <w:rPr>
      <w:szCs w:val="22"/>
      <w:lang w:val="ru-RU" w:eastAsia="en-US" w:bidi="en-US"/>
    </w:rPr>
  </w:style>
  <w:style w:type="paragraph" w:styleId="893">
    <w:name w:val="Оглавление 9"/>
    <w:next w:val="893"/>
    <w:link w:val="818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4">
    <w:name w:val="Оглавление 8"/>
    <w:next w:val="894"/>
    <w:link w:val="818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5">
    <w:name w:val="Оглавление 7"/>
    <w:next w:val="895"/>
    <w:link w:val="818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6">
    <w:name w:val="Оглавление 6"/>
    <w:next w:val="896"/>
    <w:link w:val="818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7">
    <w:name w:val="Оглавление 5"/>
    <w:next w:val="897"/>
    <w:link w:val="818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8">
    <w:name w:val="Оглавление 4"/>
    <w:next w:val="898"/>
    <w:link w:val="818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9">
    <w:name w:val="Оглавление 3"/>
    <w:next w:val="899"/>
    <w:link w:val="818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900">
    <w:name w:val="Оглавление 2"/>
    <w:next w:val="900"/>
    <w:link w:val="818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901">
    <w:name w:val="Оглавление 1"/>
    <w:next w:val="901"/>
    <w:link w:val="818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902">
    <w:name w:val="Текст сноски"/>
    <w:next w:val="902"/>
    <w:link w:val="818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903">
    <w:name w:val="Верхний и нижний колонтитулы"/>
    <w:basedOn w:val="818"/>
    <w:next w:val="903"/>
    <w:link w:val="818"/>
    <w:pPr>
      <w:tabs>
        <w:tab w:val="center" w:pos="4677" w:leader="none"/>
        <w:tab w:val="right" w:pos="9355" w:leader="none"/>
      </w:tabs>
      <w:suppressLineNumbers/>
    </w:pPr>
  </w:style>
  <w:style w:type="paragraph" w:styleId="904">
    <w:name w:val="Нижний колонтитул"/>
    <w:basedOn w:val="889"/>
    <w:next w:val="904"/>
    <w:link w:val="818"/>
    <w:pPr>
      <w:shd w:val="clear" w:color="auto" w:fill="ffffff"/>
    </w:pPr>
  </w:style>
  <w:style w:type="paragraph" w:styleId="905">
    <w:name w:val="Верхний колонтитул"/>
    <w:basedOn w:val="889"/>
    <w:next w:val="905"/>
    <w:link w:val="818"/>
    <w:pPr>
      <w:shd w:val="clear" w:color="auto" w:fill="ffffff"/>
    </w:pPr>
  </w:style>
  <w:style w:type="paragraph" w:styleId="906">
    <w:name w:val="Intense Quote"/>
    <w:next w:val="906"/>
    <w:link w:val="818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907">
    <w:name w:val="Quote"/>
    <w:next w:val="907"/>
    <w:link w:val="818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908">
    <w:name w:val="Подзаголовок"/>
    <w:next w:val="877"/>
    <w:link w:val="818"/>
    <w:qFormat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909">
    <w:name w:val="Заголовок"/>
    <w:next w:val="877"/>
    <w:link w:val="818"/>
    <w:qFormat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910">
    <w:name w:val="No Spacing"/>
    <w:next w:val="910"/>
    <w:link w:val="818"/>
    <w:pPr>
      <w:shd w:val="clear" w:color="auto" w:fill="ffffff"/>
    </w:pPr>
    <w:rPr>
      <w:szCs w:val="22"/>
      <w:lang w:val="ru-RU" w:eastAsia="en-US" w:bidi="en-US"/>
    </w:rPr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Мордзенко Любовь Вячеславовна</dc:creator>
  <cp:revision>7</cp:revision>
  <dcterms:created xsi:type="dcterms:W3CDTF">2023-04-14T14:34:00Z</dcterms:created>
  <dcterms:modified xsi:type="dcterms:W3CDTF">2024-10-07T08:15:32Z</dcterms:modified>
  <cp:version>1048576</cp:version>
</cp:coreProperties>
</file>