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 внесении изменений в Местные нормативы градостроительного проектирования города Костромы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Сведения о проблеме, на решение которой направлено предлагаемое правовое регулирование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 Администрации Костромской области от 20 января 2025 года </w:t>
        <w:br/>
        <w:t xml:space="preserve">№ 13-а внесены изменения в Региональные нормативы градостроительного проектирования Костромской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утвержденные постановлением Администрации города Костромы от 1 октября 2010 года № 344-а. В соответствии со статьей 29.4 Градостроительного кодекса Российской Федерации 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случае,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расчетные показатели минимально допустимого уровня обеспеченности такими объектами, устанавливаемые местными нормативами градостроительного проектирования, не мог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ут быть ниже этих предельных значений.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/>
    </w:p>
    <w:p>
      <w:pPr>
        <w:ind w:firstLine="709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Целью принятия Проекта является приведение Местных нормативов градостроительного проектирования города Костромы в соответствие Региональным нормативам градостроительного проектирования Костромской области.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left="0" w:right="0" w:firstLine="540"/>
        <w:jc w:val="both"/>
        <w:spacing w:before="0" w:after="0" w:line="288" w:lineRule="atLeast"/>
        <w:rPr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4"/>
        </w:rPr>
        <w:t xml:space="preserve">3.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описание основных групп субъектов инвестиционной, предпринимательской и иной экономической деятельности, интересы которых будут затронуты предлагаемым правовым регулированием, с указанием обязанностей, запретов, ограничений, которые предполагается возложит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ь на названных субъектов, и (или) описание предполагаемых изменений в содержании существующих обязанностей, запретов, ограничений.</w:t>
      </w:r>
      <w:r>
        <w:rPr>
          <w:i/>
          <w:iCs/>
          <w:sz w:val="26"/>
          <w:szCs w:val="26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физические и юридические лица, осуществляющие строительную деятельность на территории города Костромы.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   4.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разрабатывается исключительно в целях приведения отдельных формулировок муниципальных правовых актов, затрагивающих вопросы осуществления инвестиционной, предпринимательской и иной экономической деятельнос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ти, в соответствие с федеральным или региональным законодательством, применяется специальный порядок оценки регулирующего воздействия проекта муниципального правового акта без публичных консультаций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/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внимание, что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случае, если это предусмотрено законодательством субъекта 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ссийской Федерации о градостроительной деятельности, местной администрацией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/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</w:t>
      </w:r>
      <w:r>
        <w:rPr>
          <w:rFonts w:ascii="Times New Roman" w:hAnsi="Times New Roman" w:eastAsia="Calibri" w:cs="Times New Roman" w:eastAsiaTheme="minorHAnsi"/>
          <w:b w:val="0"/>
          <w:bCs w:val="0"/>
          <w:sz w:val="26"/>
          <w:szCs w:val="26"/>
          <w:lang w:eastAsia="en-US"/>
        </w:rPr>
        <w:t xml:space="preserve">приведение муниципального правового акта в соответствие с федеральным и региональным законодательством</w:t>
      </w:r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соответствии со статьей 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решения Думы города Костромы от 19 декабря 2013 года № 221 «Об утверждении Положения о порядке подготовки и утверждения местных нормативов градостроительного проектирования города Костромы»,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предлагаемый Проект размещался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 официальном сайте Администрации города Костромы в сети Интернет.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период опубликования Проекта предложения и замечания не поступили. 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793"/>
        <w:tabs>
          <w:tab w:val="left" w:pos="723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ачальник Управления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93"/>
        <w:tabs>
          <w:tab w:val="left" w:pos="723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рхитектуры и градостроительства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А. В. Козырев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93"/>
        <w:tabs>
          <w:tab w:val="left" w:pos="723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Caption Char"/>
    <w:basedOn w:val="853"/>
    <w:link w:val="864"/>
    <w:uiPriority w:val="99"/>
  </w:style>
  <w:style w:type="table" w:styleId="661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6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8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1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2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3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4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5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6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5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6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7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8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6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7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8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9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0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4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6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8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9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0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1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2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3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4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5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6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1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2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3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4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5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6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7">
    <w:name w:val="Hyperlink"/>
    <w:uiPriority w:val="99"/>
    <w:unhideWhenUsed/>
    <w:rPr>
      <w:color w:val="0000ff" w:themeColor="hyperlink"/>
      <w:u w:val="single"/>
    </w:rPr>
  </w:style>
  <w:style w:type="character" w:styleId="788">
    <w:name w:val="footnote reference"/>
    <w:basedOn w:val="803"/>
    <w:uiPriority w:val="99"/>
    <w:unhideWhenUsed/>
    <w:rPr>
      <w:vertAlign w:val="superscript"/>
    </w:rPr>
  </w:style>
  <w:style w:type="paragraph" w:styleId="789">
    <w:name w:val="endnote text"/>
    <w:basedOn w:val="793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03"/>
    <w:uiPriority w:val="99"/>
    <w:semiHidden/>
    <w:unhideWhenUsed/>
    <w:rPr>
      <w:vertAlign w:val="superscript"/>
    </w:rPr>
  </w:style>
  <w:style w:type="paragraph" w:styleId="792">
    <w:name w:val="table of figures"/>
    <w:basedOn w:val="793"/>
    <w:next w:val="793"/>
    <w:uiPriority w:val="99"/>
    <w:unhideWhenUsed/>
    <w:pPr>
      <w:spacing w:after="0" w:afterAutospacing="0"/>
    </w:pPr>
  </w:style>
  <w:style w:type="paragraph" w:styleId="793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4">
    <w:name w:val="Heading 1"/>
    <w:basedOn w:val="793"/>
    <w:next w:val="793"/>
    <w:link w:val="80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5">
    <w:name w:val="Heading 2"/>
    <w:next w:val="851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6">
    <w:name w:val="Heading 3"/>
    <w:next w:val="851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7">
    <w:name w:val="Heading 4"/>
    <w:next w:val="851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8">
    <w:name w:val="Heading 5"/>
    <w:next w:val="851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9">
    <w:name w:val="Heading 6"/>
    <w:next w:val="851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00">
    <w:name w:val="Heading 7"/>
    <w:next w:val="851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01">
    <w:name w:val="Heading 8"/>
    <w:next w:val="851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02">
    <w:name w:val="Heading 9"/>
    <w:next w:val="851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character" w:styleId="806" w:customStyle="1">
    <w:name w:val="Заголовок Знак"/>
    <w:basedOn w:val="803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7" w:customStyle="1">
    <w:name w:val="Заголовок 1 Знак"/>
    <w:basedOn w:val="803"/>
    <w:link w:val="794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8" w:customStyle="1">
    <w:name w:val="Текст выноски Знак"/>
    <w:basedOn w:val="803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9" w:customStyle="1">
    <w:name w:val="Интернет-ссылка"/>
    <w:basedOn w:val="803"/>
    <w:uiPriority w:val="99"/>
    <w:unhideWhenUsed/>
    <w:rPr>
      <w:color w:val="0000ff" w:themeColor="hyperlink"/>
      <w:u w:val="single"/>
    </w:rPr>
  </w:style>
  <w:style w:type="character" w:styleId="8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qFormat/>
    <w:rPr>
      <w:rFonts w:ascii="Arial" w:hAnsi="Arial" w:eastAsia="Arial" w:cs="Arial"/>
      <w:sz w:val="34"/>
    </w:rPr>
  </w:style>
  <w:style w:type="character" w:styleId="81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Title Char"/>
    <w:qFormat/>
    <w:rPr>
      <w:sz w:val="48"/>
      <w:szCs w:val="48"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Quote Char"/>
    <w:qFormat/>
    <w:rPr>
      <w:i/>
    </w:rPr>
  </w:style>
  <w:style w:type="character" w:styleId="824" w:customStyle="1">
    <w:name w:val="Intense Quote Char"/>
    <w:qFormat/>
    <w:rPr>
      <w:i/>
    </w:rPr>
  </w:style>
  <w:style w:type="character" w:styleId="825" w:customStyle="1">
    <w:name w:val="Header Char"/>
    <w:qFormat/>
  </w:style>
  <w:style w:type="character" w:styleId="826" w:customStyle="1">
    <w:name w:val="Footer Char"/>
    <w:qFormat/>
  </w:style>
  <w:style w:type="character" w:styleId="827" w:customStyle="1">
    <w:name w:val="Footnote Text Char"/>
    <w:qFormat/>
    <w:rPr>
      <w:sz w:val="18"/>
    </w:rPr>
  </w:style>
  <w:style w:type="character" w:styleId="828" w:customStyle="1">
    <w:name w:val="Символ сноски"/>
    <w:qFormat/>
    <w:rPr>
      <w:vertAlign w:val="superscript"/>
    </w:rPr>
  </w:style>
  <w:style w:type="character" w:styleId="829" w:customStyle="1">
    <w:name w:val="Footnote Characters"/>
    <w:qFormat/>
    <w:rPr>
      <w:vertAlign w:val="superscript"/>
    </w:rPr>
  </w:style>
  <w:style w:type="character" w:styleId="830" w:customStyle="1">
    <w:name w:val="Absatz-Standardschriftart"/>
    <w:qFormat/>
  </w:style>
  <w:style w:type="character" w:styleId="831" w:customStyle="1">
    <w:name w:val="Основной шрифт абзаца1"/>
    <w:qFormat/>
  </w:style>
  <w:style w:type="character" w:styleId="832" w:customStyle="1">
    <w:name w:val="WW8Num2z8"/>
    <w:qFormat/>
  </w:style>
  <w:style w:type="character" w:styleId="833" w:customStyle="1">
    <w:name w:val="WW8Num2z7"/>
    <w:qFormat/>
  </w:style>
  <w:style w:type="character" w:styleId="834" w:customStyle="1">
    <w:name w:val="WW8Num2z6"/>
    <w:qFormat/>
  </w:style>
  <w:style w:type="character" w:styleId="835" w:customStyle="1">
    <w:name w:val="WW8Num2z5"/>
    <w:qFormat/>
  </w:style>
  <w:style w:type="character" w:styleId="836" w:customStyle="1">
    <w:name w:val="WW8Num2z4"/>
    <w:qFormat/>
  </w:style>
  <w:style w:type="character" w:styleId="837" w:customStyle="1">
    <w:name w:val="WW8Num2z3"/>
    <w:qFormat/>
  </w:style>
  <w:style w:type="character" w:styleId="838" w:customStyle="1">
    <w:name w:val="WW8Num2z2"/>
    <w:qFormat/>
  </w:style>
  <w:style w:type="character" w:styleId="839" w:customStyle="1">
    <w:name w:val="WW8Num2z1"/>
    <w:qFormat/>
  </w:style>
  <w:style w:type="character" w:styleId="84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41" w:customStyle="1">
    <w:name w:val="WW8Num1z8"/>
    <w:qFormat/>
  </w:style>
  <w:style w:type="character" w:styleId="842" w:customStyle="1">
    <w:name w:val="WW8Num1z7"/>
    <w:qFormat/>
  </w:style>
  <w:style w:type="character" w:styleId="843" w:customStyle="1">
    <w:name w:val="WW8Num1z6"/>
    <w:qFormat/>
  </w:style>
  <w:style w:type="character" w:styleId="844" w:customStyle="1">
    <w:name w:val="WW8Num1z5"/>
    <w:qFormat/>
  </w:style>
  <w:style w:type="character" w:styleId="845" w:customStyle="1">
    <w:name w:val="WW8Num1z4"/>
    <w:qFormat/>
  </w:style>
  <w:style w:type="character" w:styleId="846" w:customStyle="1">
    <w:name w:val="WW8Num1z3"/>
    <w:qFormat/>
  </w:style>
  <w:style w:type="character" w:styleId="847" w:customStyle="1">
    <w:name w:val="WW8Num1z2"/>
    <w:qFormat/>
  </w:style>
  <w:style w:type="character" w:styleId="848" w:customStyle="1">
    <w:name w:val="WW8Num1z1"/>
    <w:qFormat/>
  </w:style>
  <w:style w:type="character" w:styleId="849" w:customStyle="1">
    <w:name w:val="WW8Num1z0"/>
    <w:qFormat/>
  </w:style>
  <w:style w:type="paragraph" w:styleId="850">
    <w:name w:val="Title"/>
    <w:basedOn w:val="794"/>
    <w:next w:val="851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51">
    <w:name w:val="Body Text"/>
    <w:basedOn w:val="793"/>
    <w:pPr>
      <w:spacing w:after="140" w:line="276" w:lineRule="auto"/>
    </w:pPr>
  </w:style>
  <w:style w:type="paragraph" w:styleId="852">
    <w:name w:val="List"/>
    <w:basedOn w:val="851"/>
    <w:rPr>
      <w:rFonts w:cs="Arial"/>
    </w:rPr>
  </w:style>
  <w:style w:type="paragraph" w:styleId="853">
    <w:name w:val="Caption"/>
    <w:basedOn w:val="793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4">
    <w:name w:val="index heading"/>
    <w:basedOn w:val="793"/>
    <w:qFormat/>
    <w:pPr>
      <w:suppressLineNumbers/>
    </w:pPr>
    <w:rPr>
      <w:rFonts w:cs="Arial"/>
    </w:rPr>
  </w:style>
  <w:style w:type="paragraph" w:styleId="855">
    <w:name w:val="Normal (Web)"/>
    <w:basedOn w:val="793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6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7">
    <w:name w:val="Balloon Text"/>
    <w:basedOn w:val="793"/>
    <w:qFormat/>
    <w:rPr>
      <w:rFonts w:ascii="Tahoma" w:hAnsi="Tahoma"/>
      <w:sz w:val="16"/>
      <w:szCs w:val="16"/>
    </w:rPr>
  </w:style>
  <w:style w:type="paragraph" w:styleId="858">
    <w:name w:val="List Paragraph"/>
    <w:basedOn w:val="793"/>
    <w:qFormat/>
    <w:pPr>
      <w:contextualSpacing/>
      <w:ind w:left="720"/>
    </w:pPr>
  </w:style>
  <w:style w:type="paragraph" w:styleId="859" w:customStyle="1">
    <w:name w:val="Содержимое таблицы"/>
    <w:basedOn w:val="793"/>
    <w:qFormat/>
    <w:pPr>
      <w:suppressLineNumbers/>
    </w:pPr>
  </w:style>
  <w:style w:type="paragraph" w:styleId="860" w:customStyle="1">
    <w:name w:val="Заголовок таблицы"/>
    <w:basedOn w:val="859"/>
    <w:qFormat/>
    <w:pPr>
      <w:jc w:val="center"/>
    </w:pPr>
    <w:rPr>
      <w:b/>
      <w:bCs/>
    </w:rPr>
  </w:style>
  <w:style w:type="paragraph" w:styleId="861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62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63" w:customStyle="1">
    <w:name w:val="Верхний и нижний колонтитулы"/>
    <w:basedOn w:val="793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4">
    <w:name w:val="Footer"/>
    <w:basedOn w:val="793"/>
  </w:style>
  <w:style w:type="paragraph" w:styleId="865">
    <w:name w:val="Header"/>
    <w:basedOn w:val="793"/>
  </w:style>
  <w:style w:type="paragraph" w:styleId="866" w:customStyle="1">
    <w:name w:val="Содержимое врезки"/>
    <w:basedOn w:val="793"/>
    <w:qFormat/>
  </w:style>
  <w:style w:type="paragraph" w:styleId="86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8">
    <w:name w:val="Subtitle"/>
    <w:next w:val="851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1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72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9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0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1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2" w:customStyle="1">
    <w:name w:val="Название1"/>
    <w:basedOn w:val="793"/>
    <w:qFormat/>
    <w:pPr>
      <w:spacing w:before="120" w:after="120"/>
    </w:pPr>
    <w:rPr>
      <w:i/>
      <w:iCs/>
      <w:sz w:val="20"/>
      <w:szCs w:val="24"/>
    </w:rPr>
  </w:style>
  <w:style w:type="paragraph" w:styleId="883" w:customStyle="1">
    <w:name w:val="Указатель1"/>
    <w:basedOn w:val="793"/>
    <w:qFormat/>
  </w:style>
  <w:style w:type="paragraph" w:styleId="884">
    <w:name w:val="Body Text Indent 2"/>
    <w:basedOn w:val="793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5" w:customStyle="1">
    <w:name w:val="WW8Num1"/>
    <w:qFormat/>
  </w:style>
  <w:style w:type="numbering" w:styleId="886" w:customStyle="1">
    <w:name w:val="WW8Num2"/>
    <w:qFormat/>
  </w:style>
  <w:style w:type="paragraph" w:styleId="887" w:customStyle="1">
    <w:name w:val="Другое"/>
    <w:basedOn w:val="767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69</cp:revision>
  <dcterms:created xsi:type="dcterms:W3CDTF">2019-07-03T12:35:00Z</dcterms:created>
  <dcterms:modified xsi:type="dcterms:W3CDTF">2025-04-28T12:59:19Z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