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территории, </w:t>
      </w:r>
      <w:r>
        <w:rPr>
          <w:rFonts w:ascii="Times New Roman" w:hAnsi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/>
          <w:b/>
          <w:bCs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улицами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Октябрьской, «Северной правды», границами территориальной зоны многоэтажной жилой застройки Ж-3</w:t>
      </w:r>
      <w:r/>
      <w:r>
        <w:rPr>
          <w:rFonts w:ascii="Times New Roman" w:hAnsi="Times New Roman"/>
          <w:b/>
          <w:bCs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ограниченной </w:t>
      </w:r>
      <w:r>
        <w:rPr>
          <w:rFonts w:ascii="Times New Roman" w:hAnsi="Times New Roman"/>
          <w:b w:val="0"/>
          <w:bCs/>
          <w:sz w:val="26"/>
          <w:szCs w:val="26"/>
        </w:rPr>
      </w:r>
      <w:r>
        <w:rPr>
          <w:rFonts w:ascii="Times New Roman" w:hAnsi="Times New Roman"/>
          <w:b w:val="0"/>
          <w:bCs/>
          <w:sz w:val="26"/>
          <w:szCs w:val="26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b w:val="0"/>
          <w:bCs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bidi="ar-SA" w:eastAsia="zh-CN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bidi="en-US" w:eastAsia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bidi="en-US" w:eastAsia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bidi="en-US" w:eastAsia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bidi="en-US" w:eastAsia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bidi="en-US" w:eastAsia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bidi="en-US" w:eastAsia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bidi="en-US" w:eastAsia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bidi="en-US" w:eastAsia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bidi="en-US" w:eastAsia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bidi="ar-SA" w:eastAsia="zh-CN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bidi="ar-SA" w:eastAsia="zh-CN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bidi="ar-SA" w:eastAsia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bidi="en-US" w:eastAsia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bidi="en-US" w:eastAsia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bidi="en-US" w:eastAsia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bidi="en-US" w:eastAsia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bidi="en-US" w:eastAsia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bidi="en-US" w:eastAsia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bidi="en-US" w:eastAsia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bidi="en-US" w:eastAsia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2022-09-19T06:06:43Z</dcterms:modified>
</cp:coreProperties>
</file>