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документации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5"/>
          <w:szCs w:val="25"/>
          <w:lang w:val="ru-RU"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b/>
          <w:bCs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5"/>
          <w:szCs w:val="25"/>
          <w:lang w:val="ru-RU"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правообладатели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5 по 12 марта 2026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 LibreOffice_project/3d775be2011f3886db32dfd395a6a6d1ca2630ff</Application>
  <Pages>2</Pages>
  <Words>396</Words>
  <Characters>3239</Characters>
  <CharactersWithSpaces>3629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2026-03-05T08:21:26Z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