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Изменения в документацию по планировке</w:t>
      </w:r>
      <w:r>
        <w:rPr>
          <w:rFonts w:ascii="Times New Roman" w:hAnsi="Times New Roman"/>
          <w:bCs/>
          <w:sz w:val="32"/>
          <w:szCs w:val="32"/>
        </w:rPr>
      </w:r>
      <w:r>
        <w:rPr>
          <w:rFonts w:ascii="Times New Roman" w:hAnsi="Times New Roman"/>
          <w:bCs/>
          <w:sz w:val="32"/>
          <w:szCs w:val="32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территории</w:t>
      </w:r>
      <w:r>
        <w:rPr>
          <w:rFonts w:ascii="Times New Roman" w:hAnsi="Times New Roman"/>
          <w:bCs/>
          <w:sz w:val="32"/>
          <w:szCs w:val="32"/>
        </w:rPr>
        <w:t xml:space="preserve">,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ограниченной шоссе Кинешемским, улицами Маршала Устинова, Долгая поляна, Сутырина, 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проездом Давыдовским 5-ым, улицами Сутырина, Индустриальной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bCs/>
          <w:sz w:val="26"/>
          <w:szCs w:val="26"/>
        </w:rPr>
        <w:t xml:space="preserve">Проект</w:t>
      </w:r>
      <w:r>
        <w:rPr>
          <w:rFonts w:ascii="Times New Roman" w:hAnsi="Times New Roman"/>
          <w:bCs/>
          <w:sz w:val="26"/>
          <w:szCs w:val="26"/>
        </w:rPr>
        <w:t xml:space="preserve"> планировки территории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  <w:highlight w:val="none"/>
          <w:lang w:val="en-US"/>
        </w:rPr>
      </w:pPr>
      <w:r>
        <w:rPr>
          <w:rFonts w:ascii="Times New Roman" w:hAnsi="Times New Roman"/>
          <w:bCs/>
          <w:sz w:val="26"/>
          <w:szCs w:val="26"/>
          <w:highlight w:val="none"/>
        </w:rPr>
        <w:t xml:space="preserve">Том </w:t>
      </w:r>
      <w:r>
        <w:rPr>
          <w:rFonts w:ascii="Times New Roman" w:hAnsi="Times New Roman"/>
          <w:bCs/>
          <w:sz w:val="26"/>
          <w:szCs w:val="26"/>
          <w:highlight w:val="none"/>
          <w:lang w:val="en-US"/>
        </w:rPr>
        <w:t xml:space="preserve">II</w:t>
      </w:r>
      <w:r>
        <w:rPr>
          <w:rFonts w:ascii="Times New Roman" w:hAnsi="Times New Roman"/>
          <w:sz w:val="26"/>
          <w:szCs w:val="26"/>
          <w:highlight w:val="none"/>
          <w:lang w:val="en-US"/>
        </w:rPr>
      </w:r>
      <w:r>
        <w:rPr>
          <w:rFonts w:ascii="Times New Roman" w:hAnsi="Times New Roman"/>
          <w:sz w:val="26"/>
          <w:szCs w:val="26"/>
          <w:highlight w:val="none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highlight w:val="none"/>
          <w:lang w:val="ru-RU"/>
        </w:rPr>
        <w:t xml:space="preserve">Часть 2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Материалы по обоснованию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8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Внести в Том 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II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материал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ов по об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основанию проекта планировки территории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шоссе Кинешемским, улицами Маршала Устинова, Долгая поляна, Сутырина, проездом Давыдовским 5-ым, улицами Сутырина, Индустриальной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твержденного постановлением Администрации города Костромы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 сентября 2018 года № 2020, с изменениями, внесенными постановлениями Администрации города Костромы от 7 октября 2020 года № 1887, от 23 сентября 2024 года № 1674),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следующие изменения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1. 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Часть 2</w:t>
      </w:r>
      <w:r>
        <w:rPr>
          <w:rFonts w:ascii="Times New Roman" w:hAnsi="Times New Roman" w:eastAsia="Times New Roman"/>
          <w:sz w:val="26"/>
          <w:szCs w:val="26"/>
          <w:highlight w:val="none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highlight w:val="none"/>
          <w:lang w:val="ru-RU"/>
        </w:rPr>
        <w:t xml:space="preserve">«Пояснительная записка» 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Тома </w:t>
      </w:r>
      <w:r>
        <w:rPr>
          <w:rFonts w:ascii="Times New Roman" w:hAnsi="Times New Roman" w:eastAsia="Times New Roman"/>
          <w:sz w:val="26"/>
          <w:szCs w:val="26"/>
          <w:highlight w:val="none"/>
          <w:lang w:val="en-US"/>
        </w:rPr>
        <w:t xml:space="preserve">II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 проекта планировки территории изложить в новой редакции: 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pStyle w:val="855"/>
        <w:ind w:firstLine="709"/>
        <w:jc w:val="center"/>
        <w:rPr>
          <w:b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«</w:t>
      </w:r>
      <w:r>
        <w:rPr>
          <w:b/>
          <w:sz w:val="26"/>
          <w:szCs w:val="26"/>
        </w:rPr>
        <w:t xml:space="preserve">Пояснительная записка проекта планировки территории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57"/>
        <w:ind w:firstLine="709"/>
        <w:jc w:val="center"/>
        <w:spacing w:before="0" w:after="0" w:line="240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Часть 2 </w:t>
      </w:r>
      <w:r>
        <w:rPr>
          <w:b/>
          <w:sz w:val="26"/>
          <w:szCs w:val="26"/>
        </w:rPr>
        <w:t xml:space="preserve">–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пояснительная записка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5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857"/>
        <w:numPr>
          <w:ilvl w:val="0"/>
          <w:numId w:val="3"/>
        </w:numPr>
        <w:ind w:left="0" w:firstLine="709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Обоснование определения границ зон планируемого размещения объектов капитального строительства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7"/>
        <w:numPr>
          <w:ilvl w:val="0"/>
          <w:numId w:val="3"/>
        </w:numPr>
        <w:ind w:left="0" w:firstLine="709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Обоснование соответствия планируемых параметров, местоположения и назначения объектов </w:t>
      </w:r>
      <w:r>
        <w:rPr>
          <w:sz w:val="26"/>
          <w:szCs w:val="26"/>
        </w:rPr>
        <w:t xml:space="preserve">регионального значения, объектов </w:t>
      </w:r>
      <w:r>
        <w:rPr>
          <w:sz w:val="26"/>
          <w:szCs w:val="26"/>
        </w:rPr>
        <w:t xml:space="preserve">местного значения нормативам градостроительного проектирования и требования</w:t>
      </w:r>
      <w:r>
        <w:rPr>
          <w:sz w:val="26"/>
          <w:szCs w:val="26"/>
        </w:rPr>
        <w:t xml:space="preserve">м градостроительных регламентов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7"/>
        <w:numPr>
          <w:ilvl w:val="0"/>
          <w:numId w:val="3"/>
        </w:numPr>
        <w:ind w:left="0" w:firstLine="709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боснование соответствия планируемых параметро</w:t>
      </w:r>
      <w:r>
        <w:rPr>
          <w:sz w:val="26"/>
          <w:szCs w:val="26"/>
        </w:rPr>
        <w:t xml:space="preserve">в,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7"/>
        <w:numPr>
          <w:ilvl w:val="1"/>
          <w:numId w:val="3"/>
        </w:numPr>
        <w:ind w:left="0" w:firstLine="709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Расчетные показатели минимально допустимого уровня обеспеченности тер</w:t>
      </w:r>
      <w:r>
        <w:rPr>
          <w:sz w:val="26"/>
          <w:szCs w:val="26"/>
        </w:rPr>
        <w:t xml:space="preserve">ритории объектами </w:t>
      </w:r>
      <w:r>
        <w:rPr>
          <w:sz w:val="26"/>
          <w:szCs w:val="26"/>
          <w:u w:val="single"/>
        </w:rPr>
        <w:t xml:space="preserve">коммунальной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инфраструктур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и расчетны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максимально допустимого уровня территориа</w:t>
      </w:r>
      <w:r>
        <w:rPr>
          <w:sz w:val="26"/>
          <w:szCs w:val="26"/>
        </w:rPr>
        <w:t xml:space="preserve">льной доступности для населения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7"/>
        <w:numPr>
          <w:ilvl w:val="1"/>
          <w:numId w:val="3"/>
        </w:numPr>
        <w:ind w:left="0" w:firstLine="709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>
        <w:rPr>
          <w:sz w:val="26"/>
          <w:szCs w:val="26"/>
          <w:u w:val="single"/>
        </w:rPr>
        <w:t xml:space="preserve">транспортной</w:t>
      </w:r>
      <w:r>
        <w:rPr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7"/>
        <w:numPr>
          <w:ilvl w:val="1"/>
          <w:numId w:val="3"/>
        </w:numPr>
        <w:ind w:left="0" w:firstLine="709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>
        <w:rPr>
          <w:sz w:val="26"/>
          <w:szCs w:val="26"/>
          <w:u w:val="single"/>
        </w:rPr>
        <w:t xml:space="preserve">социальной</w:t>
      </w:r>
      <w:r>
        <w:rPr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7"/>
        <w:numPr>
          <w:ilvl w:val="0"/>
          <w:numId w:val="3"/>
        </w:numPr>
        <w:ind w:left="0" w:firstLine="709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по защите территорий от чрезвычайных ситуаций природного и техногенного характера, в том числе по обеспечению пожарной без</w:t>
      </w:r>
      <w:r>
        <w:rPr>
          <w:sz w:val="26"/>
          <w:szCs w:val="26"/>
        </w:rPr>
        <w:t xml:space="preserve">опасности и гражданской обороне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7"/>
        <w:numPr>
          <w:ilvl w:val="0"/>
          <w:numId w:val="3"/>
        </w:numPr>
        <w:ind w:left="0" w:firstLine="709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</w:t>
      </w:r>
      <w:r>
        <w:rPr>
          <w:sz w:val="26"/>
          <w:szCs w:val="26"/>
        </w:rPr>
        <w:t xml:space="preserve">ятий по охране окружающей среды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7"/>
        <w:numPr>
          <w:ilvl w:val="0"/>
          <w:numId w:val="3"/>
        </w:numPr>
        <w:ind w:left="0" w:firstLine="709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Обоснование очередности п</w:t>
      </w:r>
      <w:r>
        <w:rPr>
          <w:sz w:val="26"/>
          <w:szCs w:val="26"/>
        </w:rPr>
        <w:t xml:space="preserve">ланируемого развития территории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pStyle w:val="857"/>
        <w:numPr>
          <w:ilvl w:val="0"/>
          <w:numId w:val="4"/>
        </w:numPr>
        <w:ind w:left="0" w:firstLine="709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Обоснование определения границ зон планируемого размещения объектов капитального строительства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В соответствии с Генеральным планом города Костромы территория в границах проекта планировки территории расположена в следующих функциональных зонах: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зона застройки многоэтажными жилыми домами (9 этажей и более);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зона застройки индивидуальными жилыми домами;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многофункциональная общественно-деловая зона;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зона специализированной общественной застройки;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зона рекреационного назначения.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Согласно Правилам землепользования и застройки города Костромы территория в границах проекта планировки расположена в следующих территориальных зонах: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Ж-4 зона застройки многоэтажными жилыми домами (9 этажей и выше);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Ж-6 зона объектов дошкольного, начального и среднего общего образования;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Ж-1 зона застройки индивидуальными жилыми домами;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Д-2 зона размещения объектов среднего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профессионального 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и высшего образования;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Д-4 зона размещения объектов физической культуры и массового спорта;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Д-1 многофункциональная общественно-деловая зона;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Р-1  </w:t>
      </w:r>
      <w:r>
        <w:t xml:space="preserve">зона зеленых насаждений общего пользования.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Границы функциональных зон размещения объектов и зоны планируемого размещения объектов капитального строительства определены на основании Генерального плана города Костр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омы, в соответствии с зонированием территории, установленным Правилами землепользования и застройки города Костромы, предусматривающие установление основных и условно разрешенных видов использования земельных участков и объектов капитального строительства.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Таблица соответствия зон планируемого размещения Генеральному плану и Правилам землепользования и застройки города Костромы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right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Таблица 1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3827"/>
        <w:gridCol w:w="2693"/>
      </w:tblGrid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Наименование зоны планируемого размещения в соответствии с проектом планировки территории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Функциональная зона Генерального плана города Костромы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Территориальная зона Правил землепользования и застройки города Костромы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многоэтажной жилой застройки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застройки многоэтажными жилыми домами (9 этажей и более)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Ж-4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малоэтажной, индивидуальной жилой застройки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застройки индивидуальными жилыми домами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Ж-1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размещения объектов общественно-делового назначения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многофункциональная общественно-деловая зона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Д-1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размещения объектов начального и среднего общего образования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 зона специализированной общественной застройки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Д-2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размещения объектов дошкольного. начального и среднего общего образования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 зона специализированной общественной застройки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Ж-6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размещения объектов физической культуры и массового спорта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 зона специализированной общественной застройки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Д-4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зеленых насаждений специального назначения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рекреационного назначения.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5"/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Р-1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зеленых насаждений общего пользования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рекреационного назначения.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Р-1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размещения объектов здравоохранения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зона застройки многоэтажными жилыми домами (9 этажей и более)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Ж-4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  <w:t xml:space="preserve">Территория общего пользования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5"/>
              <w:contextualSpacing/>
              <w:jc w:val="both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55"/>
              <w:contextualSpacing/>
              <w:jc w:val="center"/>
              <w:spacing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pStyle w:val="855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Виды разрешенного использования земельных участков и объектов капитального строительства, установленные проектом планировки территории, указаны в таблице 3 проекта межевания территории.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55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Проектом планировк</w:t>
      </w: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и территории строительство новых объектов жилого и производственного назначения не предусматривается. Реконструкция существующих объектов капитального строительства, а также строительство новых объектов капитального строительства на месте существующих, про</w:t>
      </w: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изводится в установленном порядке в соответствии с Правилами землепользования и застройки города Костромы, Местными нормативами градостроительного проектирования города Костромы, иными нормативными актами, с учетом настоящего проекта планировки территории.</w:t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</w:p>
    <w:p>
      <w:pPr>
        <w:pStyle w:val="855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Проектом планировки территории предусмотрено размещение объекта спорта в границах зоны зеленых насаждений общего пользования по улице Индустриальной. </w:t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В соответствии с Правилами землепользования и застройки города Костромы объект спорта – плавательный бассейн общего пользования, предусмотрен в территориальной зоне Р-1 и относится к условно разрешенным видам использования.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Выбор вида разрешенного использования земельных 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частков, расположенных в санитарно-защитной зоне существующих объектов, для которых в соответствии с действующим законодательством должна быть установлена санитарно-защитная зона,, определяются в соответствии с режимами территории санитарно-защитной зоны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СанПин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2.2.1/2.1.1.1200-03, пункт 5.3). При размещении объектов капитального строительства, требующих установления своей санитарно-защитной зоны, необходимо учитывать существующую застройку.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2. Обоснование соответствия планируемых параметров, местоположения и назначения объектов </w:t>
      </w:r>
      <w:r>
        <w:rPr>
          <w:b/>
          <w:bCs/>
          <w:sz w:val="26"/>
          <w:szCs w:val="26"/>
        </w:rPr>
        <w:t xml:space="preserve">регионального значения, объектов </w:t>
      </w:r>
      <w:r>
        <w:rPr>
          <w:b/>
          <w:bCs/>
          <w:sz w:val="26"/>
          <w:szCs w:val="26"/>
        </w:rPr>
        <w:t xml:space="preserve">местного значения нормативам градостроительного проектирования и требования</w:t>
      </w:r>
      <w:r>
        <w:rPr>
          <w:b/>
          <w:bCs/>
          <w:sz w:val="26"/>
          <w:szCs w:val="26"/>
        </w:rPr>
        <w:t xml:space="preserve">м градостроительных регламентов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Проектом планировки территории размещение объектов регионального значения не предусмотрено.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Проектом планировки территории в границах зоны зеленых насаждений общего пользования предусмотрено размещение объекта спорта – плавательного бассейна.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Местоположение объекта спорта выбрано исходя из следующих характеристик территории: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- территория свободна от застройки;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- транспортная доступность;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- инженерные коммуникации в районе земельного участка, на котором планируется размещение объекта спорта;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highlight w:val="none"/>
        </w:rPr>
        <w:t xml:space="preserve">- соответствие вида разрешенного использования Правилам землепользования и застройки города Костромы.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55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Проектом планировки территории предусмотрено размещение объекта спорта в границах зоны зеленых насаждений общего пользования по улице Индустриальной. </w:t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В соответствии с Правилами землепользования и застройки города Костромы объект спорта – плавательный бассейн общего пользования, предусмотрен в территориальной зоне Р-1 и относится к условно разрешенным видам использования.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Характеристики планируемого объекта спорта представлены в таблице 2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right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Таблица 2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601"/>
        <w:gridCol w:w="1393"/>
        <w:gridCol w:w="672"/>
        <w:gridCol w:w="1081"/>
        <w:gridCol w:w="921"/>
        <w:gridCol w:w="1417"/>
        <w:gridCol w:w="1276"/>
        <w:gridCol w:w="993"/>
      </w:tblGrid>
      <w:tr>
        <w:tblPrEx/>
        <w:trPr/>
        <w:tc>
          <w:tcPr>
            <w:tcW w:w="160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Пропускная способность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Кол-во смен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Площадь зеркала воды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Этажность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Общая площадь здания, 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Площадь застройки (без учета входных групп), 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Процент застройки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60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Плавательный бассейн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36 чел/смену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325 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1-2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1455,80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1490,41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34,4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Характеристики планируемого объекта могут быть уточнены, но не могут быть выше предельных параметров, установленных Правилами землепользования и застройки города Костромы для территориальной зоны зеленых насаждений общего пользования Р-1.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3. О</w:t>
      </w:r>
      <w:r>
        <w:rPr>
          <w:b/>
          <w:bCs/>
          <w:sz w:val="26"/>
          <w:szCs w:val="26"/>
        </w:rPr>
        <w:t xml:space="preserve">боснование соответствия планируемых параметро</w:t>
      </w:r>
      <w:r>
        <w:rPr>
          <w:b/>
          <w:bCs/>
          <w:sz w:val="26"/>
          <w:szCs w:val="26"/>
        </w:rPr>
        <w:t xml:space="preserve">в,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  <w:highlight w:val="none"/>
        </w:rPr>
        <w:t xml:space="preserve">3.1. </w:t>
      </w:r>
      <w:r>
        <w:rPr>
          <w:b/>
          <w:bCs/>
          <w:sz w:val="26"/>
          <w:szCs w:val="26"/>
        </w:rPr>
        <w:t xml:space="preserve">О</w:t>
      </w:r>
      <w:r>
        <w:rPr>
          <w:b/>
          <w:bCs/>
          <w:sz w:val="26"/>
          <w:szCs w:val="26"/>
        </w:rPr>
        <w:t xml:space="preserve">боснование соответствия планируемых параметро</w:t>
      </w:r>
      <w:r>
        <w:rPr>
          <w:b/>
          <w:bCs/>
          <w:sz w:val="26"/>
          <w:szCs w:val="26"/>
        </w:rPr>
        <w:t xml:space="preserve">в, расчетным показателям минимально допустимого уровня обеспеченности территории объектами коммунальной</w:t>
      </w:r>
      <w:r>
        <w:rPr>
          <w:b/>
          <w:bCs/>
          <w:sz w:val="26"/>
          <w:szCs w:val="26"/>
          <w:highlight w:val="none"/>
        </w:rPr>
        <w:t xml:space="preserve"> инфраструктуры </w:t>
      </w:r>
      <w:r>
        <w:rPr>
          <w:b/>
          <w:bCs/>
          <w:sz w:val="26"/>
          <w:szCs w:val="26"/>
        </w:rPr>
        <w:t xml:space="preserve">и расчетным показателям максимально допустимого уровня территориальной доступности таких объектов для населения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5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Программой комплексного развития систем коммунальной инфраструктуры городского округа город Кострома на 2016-2025 годы, утвержденной решением Думы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города Костромы от 27 октября 2016 года № 208, а также Генеральным планом города Костромы на территории в границах проекта планировки не предусмотрены мероприятия по строительству объектов местного значения в области объектов коммунальной инфраструктуры.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Расчетные показатели в области электро-, тепло-, газо- и водоснабжения населения устанавливаются Местными нормативами градостроительного проектирования города Костромы.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Подключение объе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ктов капитального строительства к сетям инженерно-технического обеспечения осуществляется в установленном порядке путем заключения соответствующих договоров на технологическое присоединение, с учетом технических условий организаций коммунального комплекса.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Для планируемого объекта спорта предусматривается: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- помещение индивидуального теплового пункта.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Источник теплоснабжения здания модульного бассейна с котлами наружного размещения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предназначен для работы в районе с расчетной зимней температурой наружного воздуха – минус 23°С *.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Для нужд горячего водоснабжения предусмотрена установка пластинчатых теплообменников,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расположенных в модуле индивидуального теплового пункта.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помещение электрощитовой и полного комплекта всего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необходимого технологического оснащения, для электроснабжения всего модульного плавательного</w:t>
      </w:r>
      <w: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бассейна.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Модуль укомплектован вводным распределительным устройством (ВРУ) в составе:</w:t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– счетчик электроэнергии;</w:t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– трансформаторы тока с коэффициентом трансформации 100/10;</w:t>
      </w:r>
      <w:r/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щитовое оборудование.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Также модуль электрощитовой оборудован распределительными силовыми щитами и щитами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системы освещения, оборудованными автоматическими выключателями соответствующего наминала.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питающая сеть электроснабжения прокладывается в футляре через основание. Точка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подключения 0,5м от обреза фундамента.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ввод сетей водоснабжения в сооружение осуществляется по трубам по ГОСТ 18599-2001 Ø63х3,8мм.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Гарантированный напор в точке подключения 5м. Модульное сооружение укомплектовано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повысительной насосной станцией системы водоснабжения.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планируемый объект обеспечивается системой водоотведения.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Сброс стоков от модульного сооружения предусмотрен в несколько выпусков Ø110/125мм с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последующим присоединением к внутриплощадочной наружной сети канализации.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Материалы,  применяемые в системе водоотведения комплекта, должны соответствовать требованиям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действующих нормативно-правовых актов, в том числе: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СП 30.13330.2020 «Внутренний водопровод и канализация зданий»;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СП 32.13330.2018 «Канализация. Наружные сети и сооружения»;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СП 40-102-2000 «Проектирование и монтаж трубопроводов систем водоснабжения 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канализации из полимерных материалов»;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СП 310.1325800.2017. Свод правил. Бассейны для плавания. Правила проектирования".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3.2. </w:t>
      </w:r>
      <w:r>
        <w:rPr>
          <w:b/>
          <w:bCs/>
          <w:sz w:val="26"/>
          <w:szCs w:val="26"/>
        </w:rPr>
        <w:t xml:space="preserve">О</w:t>
      </w:r>
      <w:r>
        <w:rPr>
          <w:b/>
          <w:bCs/>
          <w:sz w:val="26"/>
          <w:szCs w:val="26"/>
        </w:rPr>
        <w:t xml:space="preserve">боснование соответствия планируемых параметро</w:t>
      </w:r>
      <w:r>
        <w:rPr>
          <w:b/>
          <w:bCs/>
          <w:sz w:val="26"/>
          <w:szCs w:val="26"/>
        </w:rPr>
        <w:t xml:space="preserve">в, расчетным показателям минимально допустимого уровня обеспеченности территории объектами транспортной</w:t>
      </w:r>
      <w:r>
        <w:rPr>
          <w:b/>
          <w:bCs/>
          <w:sz w:val="26"/>
          <w:szCs w:val="26"/>
          <w:highlight w:val="none"/>
        </w:rPr>
        <w:t xml:space="preserve"> инфраструктуры </w:t>
      </w:r>
      <w:r>
        <w:rPr>
          <w:b/>
          <w:bCs/>
          <w:sz w:val="26"/>
          <w:szCs w:val="26"/>
        </w:rPr>
        <w:t xml:space="preserve">и расчетным показателям максимально допустимого уровня территориальной доступности таких объектов для населения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Мероприятия, предусмотренные Генеральным планом города Костромы и Программой комплексного развития систем транспортной инфраструктуры города Костромы: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реконструкция магистральной улицы общегородского значения 3 класса шоссе Кинешемское;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строительство развязки в одном уровне на пересечении улицы Индустриальной и шоссе Кинешемского;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реконструкция магистральной улицы общегородского значения 3 класса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улица Индустриальная;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реконструкция магистральной улицы районного значения улица Долгая поляна;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реконструкция магистральной улицы районного значения улица Сутырина.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Проектом планировки территории устанавливаются следующие параметры улиц, ограничивающих планируемую территорию: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Таблица 3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Категория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Ширина в красных линиях, 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Ширина проезжей части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Число полос движения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Ширина полосы движения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Тротуар, 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Шоссе Кинешемское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Магистральная улица общегородского значения 3 класса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Индустриальная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Магистральная улица общегородского значения 3 класса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Сутырина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Магистральная улица районного значения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Долгая поляна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Магистральная улица районного значения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3,75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маршала Устинова (ул. Бульварная)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местного значения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 (два тротуара с одной стороны)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Проезд Давыдовский 5-й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местного значения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9,0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Проезд Давыдовский 6-й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местного значения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12,5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Проектом планировки территории учтены мероприятия по строительству транспортной развязки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одном уровне на пересечении улицы Индустриальной и шоссе Кинешемского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ab/>
        <w:t xml:space="preserve">Проектом планировки территории вдол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ь улицы Индустриальной предусмотрены автостоянки общего пользования в границах зоны многоэтажной жилой застройки. Вдоль шоссе Кинешемского напротив дома 68 в границах зоны зеленых насаждений специального назначения предусмотрена стоянка общего пользования.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jc w:val="right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Таблица 4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</w:tblGrid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Тип расчетного показателя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Наименование расчетного показателя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Предельное значение расчетного показателя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Максимальное значение по проекту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Расчетный показатель максимально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допустимого уровня обеспеченности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Обеспеченность машино-местами для хранения автотранспорта на территориях общего пользования (вдоль дорог, открытые парковки), 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Расчетное количество маши-мест для планируемого объекта спорта: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jc w:val="right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Таблица 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1184"/>
        <w:gridCol w:w="1155"/>
      </w:tblGrid>
      <w:tr>
        <w:tblPrEx/>
        <w:trPr>
          <w:trHeight w:val="699"/>
        </w:trPr>
        <w:tc>
          <w:tcPr>
            <w:tcW w:w="233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Тип расчетного показателя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Наименование расчетного показателя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gridSpan w:val="3"/>
            <w:tcW w:w="467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Предельное (минимальное) значение расчетного показателя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487"/>
        </w:trPr>
        <w:tc>
          <w:tcPr>
            <w:tcW w:w="233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территория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1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значение по нормативу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15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Расчет по проекту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Расчетный показатель минимально допустимого уровня обеспеченности</w:t>
              <w:br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Количество единовременных посетителей на 1 машино-место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before="0" w:after="0" w:line="57" w:lineRule="atLeast"/>
            </w:pPr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бассейны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6 машино-мест при обеспеченности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36 чел/в смену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Размещение парковок индивидуального автомобильного транспорта и приобъектных автостоянок, в том числе для маломобильных групп населения осуществляется в соответствии с таблицей 7 и пунктов 1.4.1-1.4.8 Местных нормативов градостроительного проектирования.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ab/>
        <w:t xml:space="preserve">Схема движения общественного транспорта проектом планировки территории не изменяется. Движение общественного транспорта осуществляется по улице Индустриальной, Маршала Устинова, шоссе Кинешемскому, улице Сутырина.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jc w:val="right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Таблица 6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tbl>
      <w:tblPr>
        <w:tblW w:w="9510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829"/>
        <w:gridCol w:w="1419"/>
        <w:gridCol w:w="1310"/>
        <w:gridCol w:w="12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82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Ед. изм.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Современное состояние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Состояние на расч. 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825" w:type="dxa"/>
            <w:vAlign w:val="top"/>
            <w:textDirection w:val="lrTb"/>
            <w:noWrap w:val="false"/>
          </w:tcPr>
          <w:p>
            <w:pPr>
              <w:pStyle w:val="848"/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Протяженность улично-дорожной сети, 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825" w:type="dxa"/>
            <w:vAlign w:val="top"/>
            <w:textDirection w:val="lrTb"/>
            <w:noWrap w:val="false"/>
          </w:tcPr>
          <w:p>
            <w:pPr>
              <w:pStyle w:val="848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Магистральные улицы общегородского значения регулируемого движения: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шоссе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Кинешемское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Индустриальная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825" w:type="dxa"/>
            <w:vAlign w:val="top"/>
            <w:textDirection w:val="lrTb"/>
            <w:noWrap w:val="false"/>
          </w:tcPr>
          <w:p>
            <w:pPr>
              <w:pStyle w:val="848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Магистральные улицы районного значения: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улица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Долгая поляна,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Сутырина.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ind w:left="-10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825" w:type="dxa"/>
            <w:vAlign w:val="top"/>
            <w:textDirection w:val="lrTb"/>
            <w:noWrap w:val="false"/>
          </w:tcPr>
          <w:p>
            <w:pPr>
              <w:pStyle w:val="848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Улицы местного значения: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улица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Маршала Устинова (ул. Бульварная),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проезд Давыдовский 5-й,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проезд Давыдовский 6-й,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Сутырина.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8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55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3.3. </w:t>
      </w:r>
      <w:r>
        <w:rPr>
          <w:b/>
          <w:bCs/>
          <w:sz w:val="26"/>
          <w:szCs w:val="26"/>
        </w:rPr>
        <w:t xml:space="preserve">О</w:t>
      </w:r>
      <w:r>
        <w:rPr>
          <w:b/>
          <w:bCs/>
          <w:sz w:val="26"/>
          <w:szCs w:val="26"/>
        </w:rPr>
        <w:t xml:space="preserve">боснование соответствия планируемых параметро</w:t>
      </w:r>
      <w:r>
        <w:rPr>
          <w:b/>
          <w:bCs/>
          <w:sz w:val="26"/>
          <w:szCs w:val="26"/>
        </w:rPr>
        <w:t xml:space="preserve">в, расчетным показателям минимально допустимого уровня обеспеченности территории объектами социальной</w:t>
      </w:r>
      <w:r>
        <w:rPr>
          <w:b/>
          <w:bCs/>
          <w:sz w:val="26"/>
          <w:szCs w:val="26"/>
          <w:highlight w:val="none"/>
        </w:rPr>
        <w:t xml:space="preserve"> инфраструктуры </w:t>
      </w:r>
      <w:r>
        <w:rPr>
          <w:b/>
          <w:bCs/>
          <w:sz w:val="26"/>
          <w:szCs w:val="26"/>
        </w:rPr>
        <w:t xml:space="preserve">и расчетным показателям максимально допустимого уровня территориальной доступности таких объектов для населения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55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55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Генеральным планом города Костромы, муниципальной программой комплексного развития систем социальной инфраструктуры объектов социальной инфраструктуры в границах проекта планировки территории не предусмотрено.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55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Проектом планировки территории новых объектов социальной инфраструктуры не планируется.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55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В границах планируемой территории расположены: объект здравоохранения (микрорайон Давыдовский 3-й, 12а), объект спорта (микрорайон Давыдовский 3-й, 44), объект детского дошкольного образования (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микрорайон Давыдовский 3-й, 36), кадетская школа-интернат (шоссе Кинешемское, 72), объект торговли (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микрорайон Давыдовский 3-й, 32).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Во встроенно-пристроенных помещениях многоквартирных жилых домов размещаются объекты обслуживания населения.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55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Реконструкция существующих объектов капитального строительства осуществляется в соответствии с действующим законодатель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ством, с градостроительными регламентами, установленными Правилами землепользования и застройки города Костромы для соответствующей территориальной зоны, с учетом зон планируемого размещения объектов, установленных настоящим проектом планировки территории.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55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Проектом планировки территории предусмотрено размещение объекта спорта в границах зоны зеленых насаждений общего пользования по улице Индустриальной. </w:t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</w:p>
    <w:p>
      <w:pPr>
        <w:contextualSpacing/>
        <w:ind w:firstLine="709"/>
        <w:jc w:val="right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Таблица 7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Наименование вида объекта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Наименование расчетного показателя, 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Передельные значения расчетного показателя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Количество по проекту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599"/>
        </w:trPr>
        <w:tc>
          <w:tcPr>
            <w:tcW w:w="233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Плавательный бассейн общего пользования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/>
          </w:p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Количество объектов на 30000 чел.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875"/>
        </w:trPr>
        <w:tc>
          <w:tcPr>
            <w:tcW w:w="23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Площадь зеркала воды бассейна общего пользования, кв. м на 1 000 чел.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/>
          </w:p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325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В соответствии с Правилами землепользования и застройки города Костромы объект спорта – плавательный бассейн общего пользования, предусмотрен в территориальной зоне Р-1 и относится к условно разрешенным видам использования.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55"/>
        <w:ind w:firstLine="709"/>
        <w:jc w:val="right"/>
        <w:tabs>
          <w:tab w:val="left" w:pos="1530" w:leader="none"/>
        </w:tabs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Таблица 8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blPrEx/>
        <w:trPr>
          <w:trHeight w:val="536"/>
        </w:trPr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55"/>
              <w:jc w:val="both"/>
              <w:tabs>
                <w:tab w:val="left" w:pos="153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tabs>
                <w:tab w:val="left" w:pos="153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Объект спорта (плавательный бассейн общего пользования)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tabs>
                <w:tab w:val="left" w:pos="153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55"/>
              <w:jc w:val="both"/>
              <w:tabs>
                <w:tab w:val="left" w:pos="1530" w:leader="none"/>
              </w:tabs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highlight w:val="none"/>
              </w:rPr>
              <w:t xml:space="preserve">Транспортная доступность, мин.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b/>
                <w:bCs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Расчетный показатель максимально допустимого уровня территориальной доступности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</w:r>
          </w:p>
        </w:tc>
      </w:tr>
      <w:tr>
        <w:tblPrEx/>
        <w:trPr/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tabs>
                <w:tab w:val="left" w:pos="153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30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tabs>
                <w:tab w:val="left" w:pos="153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Не нормируется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</w:tc>
      </w:tr>
    </w:tbl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4. Перечень мероприятий по защите территорий от чрезвычайных ситуаций природного и техногенного характера, в том числе по обеспечению пожарной без</w:t>
      </w:r>
      <w:r>
        <w:rPr>
          <w:b/>
          <w:bCs/>
          <w:sz w:val="26"/>
          <w:szCs w:val="26"/>
        </w:rPr>
        <w:t xml:space="preserve">опасности и гражданской обороне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48"/>
        <w:contextualSpacing/>
        <w:ind w:firstLine="851"/>
        <w:spacing w:line="240" w:lineRule="auto"/>
        <w:tabs>
          <w:tab w:val="left" w:pos="4128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4.1. Чрезвычайные ситуации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природного </w:t>
      </w:r>
      <w:r>
        <w:rPr>
          <w:rFonts w:ascii="Times New Roman" w:hAnsi="Times New Roman"/>
          <w:b/>
          <w:sz w:val="26"/>
          <w:szCs w:val="26"/>
        </w:rPr>
        <w:t xml:space="preserve">и </w:t>
      </w:r>
      <w:r>
        <w:rPr>
          <w:rFonts w:ascii="Times New Roman" w:hAnsi="Times New Roman"/>
          <w:b/>
          <w:bCs/>
          <w:sz w:val="26"/>
          <w:szCs w:val="26"/>
        </w:rPr>
        <w:t xml:space="preserve">техногенного </w:t>
      </w:r>
      <w:r>
        <w:rPr>
          <w:rFonts w:ascii="Times New Roman" w:hAnsi="Times New Roman"/>
          <w:b/>
          <w:sz w:val="26"/>
          <w:szCs w:val="26"/>
        </w:rPr>
        <w:t xml:space="preserve">характера.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Чрезвычайная ситуация (ЧС) — обстановка на определенной территории, сложившаяся в результате</w:t>
      </w:r>
      <w:r>
        <w:rPr>
          <w:rFonts w:ascii="Times New Roman" w:hAnsi="Times New Roman"/>
          <w:sz w:val="26"/>
          <w:szCs w:val="26"/>
        </w:rPr>
        <w:t xml:space="preserve"> аварии, опасного природного явления, катастрофы, стихийного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Предупреждение чрезвычайных ситуаций - компле</w:t>
      </w:r>
      <w:r>
        <w:rPr>
          <w:rFonts w:ascii="Times New Roman" w:hAnsi="Times New Roman"/>
          <w:sz w:val="26"/>
          <w:szCs w:val="26"/>
        </w:rPr>
        <w:t xml:space="preserve">кс мероприятий, проводимых заблаговременно и направленных на максимальное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На</w:t>
      </w:r>
      <w:r>
        <w:rPr>
          <w:rFonts w:ascii="Times New Roman" w:hAnsi="Times New Roman"/>
          <w:sz w:val="26"/>
          <w:szCs w:val="26"/>
        </w:rPr>
        <w:t xml:space="preserve"> проектируемой территории возможны аварии на системах жизнеобеспечения энерго-, тепло-, водоснабжения и канализации.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Для их ликвидации и подачи энергоносителей потребителям по дублирующим сетям в городе создается штаб по ликвидации чрезвычайных ситуаций. Кроме того, постоянно действуют службы экстренного реагирования города.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Наиболее</w:t>
      </w:r>
      <w:r>
        <w:rPr>
          <w:rFonts w:ascii="Times New Roman" w:hAnsi="Times New Roman"/>
          <w:sz w:val="26"/>
          <w:szCs w:val="26"/>
        </w:rPr>
        <w:t xml:space="preserve"> опасными природными явлениями для г. Костромы являются грозы, сильные морозы, ливни, снегопады, гололед, сильные ветры со скоростью 5м/сек (ураганы), а при большей скорости-смерчи ( до 20м/сек). Средняя частота возникновения ураганов –раз в два- три года.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При урагане,</w:t>
      </w:r>
      <w:r>
        <w:rPr>
          <w:rFonts w:ascii="Times New Roman" w:hAnsi="Times New Roman"/>
          <w:sz w:val="26"/>
          <w:szCs w:val="26"/>
        </w:rPr>
        <w:t xml:space="preserve"> смерче возникают сильные разрушения зданий и сооружений, опрокидывание машин, лесоповал с завалами дорог, опрокидывание опор электропередач. Наиболее вероятное время возникновения ураганов и смерчей: июнь, июль, август месяцы, по времени с 15-00 до 18-00.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Панельные дома характеризуются средней степенью разрушения: разрушение оконных и дверных заполнений, падение антенн, ограждения крыш.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Климатические воздействия, перечисленные выше не представляют непосредственной опасности для жизни и здоровья людей, находящихся в здании, за исключением ураганов и смерчей.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Однако, они могут нанести ущерб самому зданию, поэто</w:t>
      </w:r>
      <w:r>
        <w:rPr>
          <w:rFonts w:ascii="Times New Roman" w:hAnsi="Times New Roman"/>
          <w:sz w:val="26"/>
          <w:szCs w:val="26"/>
        </w:rPr>
        <w:t xml:space="preserve">му в проектной документации на </w:t>
      </w:r>
      <w:r>
        <w:rPr>
          <w:rFonts w:ascii="Times New Roman" w:hAnsi="Times New Roman"/>
          <w:sz w:val="26"/>
          <w:szCs w:val="26"/>
        </w:rPr>
        <w:t xml:space="preserve">жилые дома по данной серии предусмотрены технические решения, направленные на максимальное снижение негативных воздействий особо опасных погодных явлений.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К основным группам заблаговременно предупр</w:t>
      </w:r>
      <w:r>
        <w:rPr>
          <w:rFonts w:ascii="Times New Roman" w:hAnsi="Times New Roman"/>
          <w:sz w:val="26"/>
          <w:szCs w:val="26"/>
        </w:rPr>
        <w:t xml:space="preserve">едительных мероприятий по снижению возможных разрушений и потерь при ураганах и смерчах относятся оценка и проверка прочности относительно слабых элементов конструкций зданий и их укрепления с целью обеспечения сохранности при воздействии ураганных ветров.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Важной задачей является организация своевременного оповещения с целью отключения электроэнергии на объекте строительства и обеспечения безопасности жильцов.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Затопление территории и подтопление фундаментов при ливневых дождях предотвращается сплошным водонепроницаемым покрытием, устройством отмостки и планировкой территории с уклонами в сторону ливневой канализации.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Элементы здания рассчитаны на восприятие ветровых и снеговых нагрузок, характ</w:t>
      </w:r>
      <w:r>
        <w:rPr>
          <w:rFonts w:ascii="Times New Roman" w:hAnsi="Times New Roman"/>
          <w:sz w:val="26"/>
          <w:szCs w:val="26"/>
        </w:rPr>
        <w:t xml:space="preserve">ерных для Костромской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4.2. Инженерно-технические мероприятия гражданской обороны.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Защита населения от поражающих факторов современного оружия в условиях военного времени является главной задачей гражданской обороны.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СНиП 2.01.51-90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Инженерно-технические мероприятия гражданской обороны»</w:t>
      </w:r>
      <w:r>
        <w:rPr>
          <w:rFonts w:ascii="Times New Roman" w:hAnsi="Times New Roman"/>
          <w:sz w:val="26"/>
          <w:szCs w:val="26"/>
        </w:rPr>
        <w:t xml:space="preserve"> и директивными указаниями правительственных органов защите подлежит все трудоспособное население, проживающее и работающее на территории квартала.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Нетрудоспособное население по планам гражданской обороны должно быть заблаговременно эвакуировано в загородную зону.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Работающие смены укрываются по месту работы.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Основной способ зашиты трудоспособного населения — укрытие в защитных сооружениях, оборудован</w:t>
      </w:r>
      <w:r>
        <w:rPr>
          <w:rFonts w:ascii="Times New Roman" w:hAnsi="Times New Roman"/>
          <w:sz w:val="26"/>
          <w:szCs w:val="26"/>
        </w:rPr>
        <w:t xml:space="preserve">ных с учетом требований ИТМ ГО.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Оповещение.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Эффективность защиты трудоспособного населения и ра</w:t>
      </w:r>
      <w:r>
        <w:rPr>
          <w:rFonts w:ascii="Times New Roman" w:hAnsi="Times New Roman"/>
          <w:sz w:val="26"/>
          <w:szCs w:val="26"/>
        </w:rPr>
        <w:t xml:space="preserve">ботающих смен в значительной степени зависит от своевременного их оповещения при внезапном нападении противника в военное время, или при угрозе заражения территории, при авариях и катастрофах на объектах, работающих с химически и взрывоопасными веществами.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Существует несколько способов оповещения: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left="851"/>
        <w:jc w:val="both"/>
        <w:spacing w:after="0" w:line="240" w:lineRule="auto"/>
        <w:widowControl w:val="off"/>
        <w:tabs>
          <w:tab w:val="left" w:pos="7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</w:rPr>
        <w:t xml:space="preserve">с использованием радио, телевидения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left="851"/>
        <w:jc w:val="both"/>
        <w:spacing w:after="0" w:line="240" w:lineRule="auto"/>
        <w:widowControl w:val="off"/>
        <w:tabs>
          <w:tab w:val="left" w:pos="7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</w:rPr>
        <w:t xml:space="preserve">передвижных средств громкоговорящей связи;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left="851"/>
        <w:jc w:val="both"/>
        <w:spacing w:after="0" w:line="240" w:lineRule="auto"/>
        <w:widowControl w:val="off"/>
        <w:tabs>
          <w:tab w:val="left" w:pos="7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</w:rPr>
        <w:t xml:space="preserve">с помощью стационарных установок общегородской сети оповещения.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Экстренная голосовая связь осуществляется при помощи пунктов, оборудованных микрофоном и громкоговорител</w:t>
      </w:r>
      <w:r>
        <w:rPr>
          <w:rFonts w:ascii="Times New Roman" w:hAnsi="Times New Roman"/>
          <w:sz w:val="26"/>
          <w:szCs w:val="26"/>
        </w:rPr>
        <w:t xml:space="preserve">ем. При нажатии на кнопку вызова устанавливается связь с оператором районного центра мониторинга. Затем либо на пункт экстренной связи наводится поворотная камера, установленная на одном из соседних зданий для наблюдения за местами массового скопления люде</w:t>
      </w:r>
      <w:r>
        <w:rPr>
          <w:rFonts w:ascii="Times New Roman" w:hAnsi="Times New Roman"/>
          <w:sz w:val="26"/>
          <w:szCs w:val="26"/>
        </w:rPr>
        <w:t xml:space="preserve">й, либо задействуется специальная смонтированная в пункте камера. На монитор оператора, с которым осуществляется связь, выводится изображения пункта экстренной связи и находящегося там человека, а также карта с отмеченным на ней местом расположения пункта.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Системы видеонаблюдения - Видеокамеры устанавливаются с учетом возможности просмотра всех зон. Камеры обеспечивают общий просмотр с возможностью их опознания и идентификации. Камера</w:t>
      </w:r>
      <w:r>
        <w:rPr>
          <w:rFonts w:ascii="Times New Roman" w:hAnsi="Times New Roman"/>
          <w:sz w:val="26"/>
          <w:szCs w:val="26"/>
        </w:rPr>
        <w:t xml:space="preserve">ы</w:t>
      </w:r>
      <w:r>
        <w:rPr>
          <w:rFonts w:ascii="Times New Roman" w:hAnsi="Times New Roman"/>
          <w:sz w:val="26"/>
          <w:szCs w:val="26"/>
        </w:rPr>
        <w:t xml:space="preserve"> устанавливается над местами скопления людей и обеспечивают максимальную зону обзора. Основные направления просмотра должны быть направлены за входами и выходами стой или иной территории помещения или участки хранения материальных ценностей.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Прокладка видеосетей осуществляется комбинированным кабелем на расстоянии не менее 0,5 метра от силовых электрических проводов. Трассировки кабельных сетей определяются в зависимости от строительных конструкций.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851"/>
        <w:jc w:val="both"/>
        <w:spacing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На объектах капитального строительства с массовым пребыванием людей предусматривается размещение оборудования видеонаблюдения, экстренной связи с последующим подключением и интеграцией в АПК «Безопасный город».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contextualSpacing/>
        <w:ind w:firstLine="851"/>
        <w:jc w:val="both"/>
        <w:spacing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  <w:t xml:space="preserve">4.3. Противопожарные мероприятия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848"/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Противопожарные мероприятия являются неотъемлемой частью инженерно-технических мероприятий гражданской обороны, обеспечивающих устойчивость функционирования в военное время отраслей и объектов экономики.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Их важность предопределяется размерами ущерба, который могут привести пожары, как в мирное, так и в военное время в очагах массового поражения.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На проектируемой территории не планируется строительство новых объектов, опасных с точки зрения взрывопожароопасности, нет таких объектов и на сопредельных территориях.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Существующая и проектируемая улично-дорожная сеть: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firstLine="851"/>
        <w:jc w:val="both"/>
        <w:spacing w:after="0" w:line="240" w:lineRule="auto"/>
        <w:tabs>
          <w:tab w:val="left" w:pos="7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обеспечивает удобные подъезды ко всем зданиям и сооружениям пожарной, спасательной и аварийной техники;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firstLine="851"/>
        <w:jc w:val="both"/>
        <w:spacing w:after="0" w:line="240" w:lineRule="auto"/>
        <w:tabs>
          <w:tab w:val="left" w:pos="7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имеет закольцованные проезды, отстойно-разворотные площадки для спасательной, аварийной и пожарной техники.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Для обеспечения наружного пожаротушения на всех линиях водопровода установлены пожарные гидранты с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обеспечением подъездов к ним и водоразборным колодцам.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Основные требования норм ИТМ ГО к транспо</w:t>
      </w:r>
      <w:r>
        <w:rPr>
          <w:rFonts w:ascii="Times New Roman" w:hAnsi="Times New Roman"/>
          <w:sz w:val="26"/>
          <w:szCs w:val="26"/>
        </w:rPr>
        <w:t xml:space="preserve">ртной сети сводятся к обеспечению перевозок в «особый период» рассредоточиваемого и эвакуируемого населения, важнейших военных и народнохозяйственных грузов, а также перевозок при организации и ведении спасательных и неотложных аварийно-спасательных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Проектом предусматривается реконструкция существующей дорожной сети общегородского значения, включающая устройство</w:t>
      </w:r>
      <w:r>
        <w:rPr>
          <w:rFonts w:ascii="Times New Roman" w:hAnsi="Times New Roman"/>
          <w:sz w:val="26"/>
          <w:szCs w:val="26"/>
        </w:rPr>
        <w:t xml:space="preserve"> кольцевой развязки на пересечении Кинешемского  шоссе и ул. Профсоюзной.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На территории</w:t>
      </w:r>
      <w:r>
        <w:rPr>
          <w:rFonts w:ascii="Times New Roman" w:hAnsi="Times New Roman"/>
          <w:sz w:val="26"/>
          <w:szCs w:val="26"/>
        </w:rPr>
        <w:t xml:space="preserve"> проекта планировки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существует</w:t>
      </w:r>
      <w:r>
        <w:rPr>
          <w:rFonts w:ascii="Times New Roman" w:hAnsi="Times New Roman"/>
          <w:sz w:val="26"/>
          <w:szCs w:val="26"/>
        </w:rPr>
        <w:t xml:space="preserve"> сеть улиц и внутриквартальных проездов.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Запроектированная и существующая </w:t>
      </w:r>
      <w:r>
        <w:rPr>
          <w:rFonts w:ascii="Times New Roman" w:hAnsi="Times New Roman"/>
          <w:sz w:val="26"/>
          <w:szCs w:val="26"/>
        </w:rPr>
        <w:t xml:space="preserve">улично-дорожная </w:t>
      </w:r>
      <w:r>
        <w:rPr>
          <w:rFonts w:ascii="Times New Roman" w:hAnsi="Times New Roman"/>
          <w:sz w:val="26"/>
          <w:szCs w:val="26"/>
        </w:rPr>
        <w:t xml:space="preserve">сеть в целом соответствует требованиям норм ИТМ ГО.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7"/>
        <w:contextualSpacing/>
        <w:ind w:left="0" w:firstLine="708"/>
        <w:jc w:val="both"/>
        <w:spacing w:before="0" w:beforeAutospacing="0" w:after="0" w:line="240" w:lineRule="auto"/>
        <w:rPr>
          <w:b w:val="0"/>
          <w:bCs w:val="0"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4.3.1. Пожарная безопасность здания модульного бассейна и требования к её обеспечению</w:t>
      </w:r>
      <w:r>
        <w:rPr>
          <w:b w:val="0"/>
          <w:bCs w:val="0"/>
          <w:sz w:val="26"/>
          <w:szCs w:val="26"/>
          <w:highlight w:val="none"/>
        </w:rPr>
        <w:t xml:space="preserve"> 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57"/>
        <w:contextualSpacing/>
        <w:ind w:left="0" w:firstLine="708"/>
        <w:jc w:val="both"/>
        <w:spacing w:before="0" w:beforeAutospacing="0" w:after="0" w:line="240" w:lineRule="auto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Противопожарные мероприятия предусмотрены в соответствии с требованиями Федеральных </w:t>
      </w:r>
      <w:r>
        <w:rPr>
          <w:b w:val="0"/>
          <w:bCs w:val="0"/>
          <w:sz w:val="26"/>
          <w:szCs w:val="26"/>
          <w:highlight w:val="none"/>
        </w:rPr>
        <w:t xml:space="preserve">законов ФЗ № 123-ФЗ, ФЗ № 384-ФЗ, а также нормативных документов по пожарной безопасности СП </w:t>
      </w:r>
      <w:r>
        <w:rPr>
          <w:b w:val="0"/>
          <w:bCs w:val="0"/>
          <w:sz w:val="26"/>
          <w:szCs w:val="26"/>
          <w:highlight w:val="none"/>
        </w:rPr>
        <w:t xml:space="preserve">1.13130.2020, СП 2.13130.2020, СП 3.13130.2009, СП 4.13130.2013, СП 484.1311500.2020, </w:t>
      </w:r>
      <w:r>
        <w:rPr>
          <w:b w:val="0"/>
          <w:bCs w:val="0"/>
          <w:sz w:val="26"/>
          <w:szCs w:val="26"/>
          <w:highlight w:val="none"/>
        </w:rPr>
        <w:t xml:space="preserve">СП 485.1311500.2020, СП 486.1311500.2020, СП 6.13130.2021, СП 7.13130.2013, СП 8.13130.2020, </w:t>
      </w:r>
      <w:r>
        <w:rPr>
          <w:b w:val="0"/>
          <w:bCs w:val="0"/>
          <w:sz w:val="26"/>
          <w:szCs w:val="26"/>
          <w:highlight w:val="none"/>
        </w:rPr>
        <w:t xml:space="preserve">СП 10.13130.2020, ГОСТ Р 30403-2012, СП 118.13330.2022 и других нормативных документов по </w:t>
      </w:r>
      <w:r>
        <w:rPr>
          <w:b w:val="0"/>
          <w:bCs w:val="0"/>
          <w:sz w:val="26"/>
          <w:szCs w:val="26"/>
          <w:highlight w:val="none"/>
        </w:rPr>
        <w:t xml:space="preserve">пожарной безопасности применение которых на добровольной основе обеспечивает соблюдение </w:t>
      </w:r>
      <w:r>
        <w:rPr>
          <w:b w:val="0"/>
          <w:bCs w:val="0"/>
          <w:sz w:val="26"/>
          <w:szCs w:val="26"/>
          <w:highlight w:val="none"/>
        </w:rPr>
        <w:t xml:space="preserve">требований технических регламентов в соответствии с правилами формирования перечня документов </w:t>
      </w:r>
      <w:r>
        <w:rPr>
          <w:b w:val="0"/>
          <w:bCs w:val="0"/>
          <w:sz w:val="26"/>
          <w:szCs w:val="26"/>
          <w:highlight w:val="none"/>
        </w:rPr>
        <w:t xml:space="preserve">по стандартизации предусмотренного ФЗ № 184-ФЗ.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tabs>
          <w:tab w:val="left" w:pos="907" w:leader="none"/>
        </w:tabs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Пожарно-технические характеристики здания:</w:t>
      </w:r>
      <w:r/>
    </w:p>
    <w:p>
      <w:pPr>
        <w:pStyle w:val="855"/>
        <w:contextualSpacing/>
        <w:ind w:firstLine="709"/>
        <w:jc w:val="both"/>
        <w:tabs>
          <w:tab w:val="left" w:pos="907" w:leader="none"/>
        </w:tabs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- уровень ответственности – нормальный;</w:t>
      </w:r>
      <w:r/>
    </w:p>
    <w:p>
      <w:pPr>
        <w:pStyle w:val="855"/>
        <w:contextualSpacing/>
        <w:ind w:firstLine="709"/>
        <w:jc w:val="both"/>
        <w:tabs>
          <w:tab w:val="left" w:pos="907" w:leader="none"/>
        </w:tabs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- класс конструктивной пожарной опасности – C0;</w:t>
      </w:r>
      <w:r/>
    </w:p>
    <w:p>
      <w:pPr>
        <w:pStyle w:val="855"/>
        <w:contextualSpacing/>
        <w:ind w:firstLine="709"/>
        <w:jc w:val="both"/>
        <w:tabs>
          <w:tab w:val="left" w:pos="907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- степень огнестойкости сооружения – III.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tabs>
          <w:tab w:val="left" w:pos="907" w:leader="none"/>
        </w:tabs>
        <w:rPr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  <w:t xml:space="preserve">4.3.2. Описание и обоснование решений по обеспечению безопасности людей при возникновении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  <w:t xml:space="preserve">пожара</w:t>
      </w:r>
      <w:r>
        <w:rPr>
          <w:b/>
          <w:bCs/>
        </w:rPr>
      </w:r>
      <w:r>
        <w:rPr>
          <w:b/>
          <w:bCs/>
        </w:rPr>
      </w:r>
    </w:p>
    <w:p>
      <w:pPr>
        <w:pStyle w:val="855"/>
        <w:contextualSpacing/>
        <w:ind w:firstLine="709"/>
        <w:jc w:val="both"/>
        <w:tabs>
          <w:tab w:val="left" w:pos="907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Безопасность людей достигается путем обеспечения своевременной эвакуации в случае пожара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по эвакуационным путям, через эвакуационные выходы, отвечающие требованиям ст. 89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Федерального закона № 123-ФЗ. Защита людей на путях эвакуации обеспечивается комплексом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объемно-планировочных, эргономических, конструктивных, инженерно-технических решений и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организационных мероприятий.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Из плавательного бассейна предусмотрено три эвакуационных выхода: два непосредственно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наружу и один через коридор, вестибюль бытового блока наружу. Из вестибюля бытового блока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предусмотрено два эвакуационных выхода. Высота горизонтальных участков путей эвакуации не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менее 2 м, ширина не менее 1,2 м, высота эвакуационных выходов в свету – не менее 1,9 м, ширина не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менее 1,2 м. Двери на путях эвакуации открываются по направлению выходов из сооружения.</w:t>
      </w:r>
      <w: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Расстояние по путям эвакуации от дверей наиболее удаленных помещений до выхода между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эвакуационными выходами наружу не превышает 40 м, из помещений с выходами в тупиковый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коридор или холл не превышает 20 м (п. 7.1.5, табл. 6 СП 1.13130.2020). Расстояние по путям эвакуации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от любой точки зала без зрительских мест (спортивная часть для размещения бассейна) до ближайшего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эвакуационного выхода не превышает 45 м (п. 7.1.4, табл. 5 СП 1.13130.2020).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tabs>
          <w:tab w:val="left" w:pos="907" w:leader="none"/>
        </w:tabs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Требования безопасной эксплуатации модульного плавательного бассейна должны быть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направлены: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/>
    </w:p>
    <w:p>
      <w:pPr>
        <w:pStyle w:val="855"/>
        <w:contextualSpacing/>
        <w:ind w:firstLine="709"/>
        <w:jc w:val="both"/>
        <w:tabs>
          <w:tab w:val="left" w:pos="907" w:leader="none"/>
        </w:tabs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- мероприятия по обеспечению безопасности в период функционирования модульного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плавательного бассейна: мероприятия по тех. обслуживанию модульного сооружения и его элементов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/>
    </w:p>
    <w:p>
      <w:pPr>
        <w:pStyle w:val="855"/>
        <w:contextualSpacing/>
        <w:ind w:firstLine="709"/>
        <w:jc w:val="both"/>
        <w:tabs>
          <w:tab w:val="left" w:pos="907" w:leader="none"/>
        </w:tabs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(стен, перекрытий и других конструкций, а также инженерных систем);</w:t>
      </w:r>
      <w:r/>
    </w:p>
    <w:p>
      <w:pPr>
        <w:pStyle w:val="855"/>
        <w:contextualSpacing/>
        <w:ind w:firstLine="709"/>
        <w:jc w:val="both"/>
        <w:tabs>
          <w:tab w:val="left" w:pos="907" w:leader="none"/>
        </w:tabs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- мероприятия устанавливающие сроки и периодичность проведения текущего и капитального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ремонта как модульного сооружения, так и их отдельных составляющих; данные о мониторинге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состояния отдельных элементов сооружения; мероприятия, направленные на охрану труда при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эксплуатации сооружений;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/>
    </w:p>
    <w:p>
      <w:pPr>
        <w:pStyle w:val="855"/>
        <w:contextualSpacing/>
        <w:ind w:firstLine="709"/>
        <w:jc w:val="both"/>
        <w:tabs>
          <w:tab w:val="left" w:pos="907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- обоснование выбора оборудования для обеспечения безопасной эксплуатации объектов; данные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о необходимом для осуществления эксплуатации персонале.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55"/>
        <w:contextualSpacing/>
        <w:ind w:firstLine="709"/>
        <w:jc w:val="both"/>
        <w:tabs>
          <w:tab w:val="left" w:pos="907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57"/>
        <w:ind w:left="0" w:firstLine="708"/>
        <w:jc w:val="both"/>
        <w:spacing w:before="0" w:beforeAutospacing="0" w:after="0" w:line="240" w:lineRule="auto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5. Перечень меропри</w:t>
      </w:r>
      <w:r>
        <w:rPr>
          <w:b/>
          <w:bCs/>
          <w:sz w:val="26"/>
          <w:szCs w:val="26"/>
        </w:rPr>
        <w:t xml:space="preserve">ятий по охране окружающей среды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857"/>
        <w:contextualSpacing/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contextualSpacing/>
        <w:ind w:left="0" w:right="0" w:firstLine="540"/>
        <w:jc w:val="both"/>
        <w:spacing w:before="0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Хозяйственная и иная деятельность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должна осуществляться на основе следующих принципов: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соблюдение права человека на благоприятную окружающую среду;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обеспечение благоприятных условий жизнедеятельности человека;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научно обоснованное сочетание экологических, экономических и социальных интересов человека, общества и государства в целях обеспечения устойчивого развития и благоприятной окружающей среды;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ответственность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за обеспечение благоприятной окружающей среды и экологической безопасности на соответствующи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х территориях;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платность природопользования и возмещение вреда окружающей среде;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независимость государственного экологического контроля (надзора);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презумпция экологической опасности планируемой хозяйственной и иной деятельности;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обязательность оценки воздействия на окружающую среду при принятии решений об осуществлении хозяйственной и иной деятельности;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обязательность проведения в соответствии с законодательством Российской Федерации проверки проектов и иной документации, обосновывающих хозяйственную и иную деятельность, которая может оказать негативное воздействие на окружающую среду, создать угрозу жизн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и, здоровью и имуществу граждан, на соответствие требованиям технических регламентов в области охраны окружающей среды;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учет природных и социально-экономических особенностей территорий при планировании и осуществлении хозяйственной и иной деятельности;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приоритет сохранения естественных экологических систем, природных ландшафтов и природных комплексов;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допустимость воздействия хозяйственной и иной деятельности на природную среду исходя из требований в области охраны окружающей среды;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среды, которого можно достигнуть на основе использования наилучших доступных технологий с учетом эко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номических и социальных факторов;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обязательность участия в деятельности по охране окружающей среды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других негосуда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рственных некоммерческих организаций, иных юридических лиц, граждан;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сохранение биологического разнообразия;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обеспечение сочетания общего и индивидуального подходов к установлению мер государственного регулирования в области охраны окружающей среды, применяемых к юридическим лицам и индивидуальным предпринимателям, осуществляющим хозяйственную и (или) иную деятел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ьность или планирующим осуществление такой деятельности;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запрещение хозяйственной и иной деятельности, последствия воздействия которой непредсказуемы для окружающей среды, а также реализации проектов, которые могут привести к деградации естественных экологических систем, изменению и (или) уничтожению генетическо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го фонда растений, животных и других организмов, истощению природных ресурсов и иным негативным изменениям окружающей среды;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на благоприятную окружающую среду, в соответствии с законодательством;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ответственность за нарушение законодательства в области охраны окружающей среды;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организация и развитие системы экологического образования, воспитание и формирование экологической культуры;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участие общественных объединений и других негосударственных некоммерческих организаций, иных юридических лиц, граждан в решении задач охраны окружающей среды;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международное сотрудничество Российской Федерации в области охраны окружающей среды;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обязательность финансирования юридическими лицами и индивидуальными предпринимателями, осуществляющими хозяйственную и (или) иную деятельность, которая приводит или может привести к загрязнению окружающей среды, мер по предотвращению и (или) уменьшению нег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ативного воздействия на окружающую среду, устранению последствий этого воздействия.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Объектами охраны окружающей среды от загрязнения, истощения, деградации, порчи, уничтожения и иного негативного воздействия хозяйственной и (или) иной деятельности являются компоненты природной среды, природные объекты и природные комплексы.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Планируемый объект спорта (плавательный бассейн) не относится к категории объектов, оказывающих негативное воздействие на окружающую среду.в соответствии со  статье 4.2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Федерального закона от 10.01.2002 № 7-ФЗ «Об охране окружающей среды».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/>
        <w:ind w:left="0" w:right="0" w:firstLine="708"/>
        <w:jc w:val="both"/>
        <w:spacing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Существующие объекты на территории в границах проекта планировки не относятся к критериям объектов, оказывающих негативное воздействие на окружающую среду, утвержденных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Постановление Правительства РФ от 31.12.2020 № 2398 «Об утверждении критериев отнесения объектов, оказывающих негативное воздействие на окружающую среду, к объектам I, II, III и IV категорий».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Style w:val="857"/>
        <w:ind w:left="0" w:firstLine="0"/>
        <w:jc w:val="both"/>
        <w:spacing w:before="0" w:beforeAutospacing="0"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 Обоснование очередности п</w:t>
      </w:r>
      <w:r>
        <w:rPr>
          <w:b/>
          <w:bCs/>
          <w:sz w:val="26"/>
          <w:szCs w:val="26"/>
        </w:rPr>
        <w:t xml:space="preserve">ланируемого развития территории</w:t>
      </w:r>
      <w:r>
        <w:rPr>
          <w:b/>
          <w:bCs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5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55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Реализация проекта планировки территории осуществляется в несколько этапов, которые предусматривают следующие мероприятия: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55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  <w:lang w:val="ru-RU"/>
        </w:rPr>
        <w:t xml:space="preserve">Первый этап: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</w:rPr>
      </w:r>
    </w:p>
    <w:p>
      <w:pPr>
        <w:pStyle w:val="855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Разработка проектно-сметной документации по объекту спорта.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55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Строительство объекта спорта.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55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Благоустройство территории объекта спорта.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55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Ввод в эксплуатацию объекта спорта.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55"/>
        <w:ind w:firstLine="0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          Первый этап развития территории предусмотрен в рамках реализации федеральных проектов Министерства спорта Российской Федерации в 2025 году.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55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  <w:lang w:val="ru-RU"/>
        </w:rPr>
        <w:t xml:space="preserve">Второй этап: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  <w:lang w:val="ru-RU"/>
        </w:rPr>
      </w:r>
    </w:p>
    <w:p>
      <w:pPr>
        <w:pStyle w:val="855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lang w:val="ru-RU"/>
        </w:rPr>
        <w:t xml:space="preserve">Реализация мероприятий в области развития улично-дорожной сети, предусматривающих разработку проектной документации по:</w:t>
      </w:r>
      <w:r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/>
        </w:rPr>
      </w:r>
      <w:r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реконструкции магистральной улицы общегородского значения 3 класса шоссе Кинешемское;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строительству развязки в одном уровне на пересечении улицы Индустриальной и шоссе Кинешемского;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реконструкции магистральной улицы общегородского значения 3 класса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улица Индустриальная;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реконструкции магистральной улицы районного значения улица Долгая поляна;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реконструкции магистральной улицы районного значения улица Сутырина.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Очередность разработки проектной д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окументации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осуществляется по мере определения органом местного самоуправления города Костромы необходимости первоочередной реализации соответствующих мероприятий по реконструкции, строительству улично-дорожной сети с учетом обеспечения их финансирования.».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u w:val="single"/>
        </w:rPr>
        <w:t xml:space="preserve">Третий этап: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u w:val="singl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Реконструкция магистральной улицы общегородского значения 3 класса шоссе Кинешемское;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Строительство развязки в одном уровне на пересечении улицы Индустриальной и шоссе Кинешемского;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Реконструкция магистральной улицы общегородского значения 3 класса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улица Индустриальная;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Реконструкция магистральной улицы районного значения улица Долгая поляна;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Реконструкция магистральной улицы районного значения улица Сутырина.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Очередность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мероприятий, указанных в третьем этапе,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осуществляется по мере определения органом местного самоуправления города Костромы необходимости первоочередной реализации соответствующих мероприятий по реконструкции, строительству улично-дорожной сети с учетом обеспечения их финансирования.».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2. В часть 1 «Графические материалы» Тома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val="ru-RU"/>
        </w:rPr>
        <w:t xml:space="preserve"> внести следующие изменения: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2.1. Схему расположения элемента планировочной структуры изложить в новой редакции.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2.2. На схеме использования территории в период подготовки проекта планировки территории устанавливаемую красную линию по улице Долгая поляна (со стороны микрорайона Давыдовский 1-й) признать отменяемой.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2.3. Вариант планировочного решения, благоустройства и озеленения территории изложить в новой редакции.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2.4. Схему границ зон с особыми условиями использования территории с обозначением территории разрабатываемого проекта планировки изложить в новой редакции.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alibri">
    <w:panose1 w:val="020F0502020204030204"/>
  </w:font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Courier New">
    <w:panose1 w:val="02070309020205020404"/>
  </w:font>
  <w:font w:name="Times New Roman">
    <w:panose1 w:val="02020603050405020304"/>
  </w:font>
  <w:font w:name="Mangal">
    <w:panose1 w:val="02040503050203030202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 Spacing"/>
    <w:basedOn w:val="848"/>
    <w:uiPriority w:val="1"/>
    <w:qFormat/>
    <w:pPr>
      <w:spacing w:after="0" w:line="240" w:lineRule="auto"/>
    </w:pPr>
  </w:style>
  <w:style w:type="paragraph" w:styleId="852">
    <w:name w:val="List Paragraph"/>
    <w:basedOn w:val="848"/>
    <w:uiPriority w:val="34"/>
    <w:qFormat/>
    <w:pPr>
      <w:contextualSpacing/>
      <w:ind w:left="720"/>
    </w:pPr>
  </w:style>
  <w:style w:type="character" w:styleId="853" w:default="1">
    <w:name w:val="Default Paragraph Font"/>
    <w:uiPriority w:val="1"/>
    <w:semiHidden/>
    <w:unhideWhenUsed/>
  </w:style>
  <w:style w:type="paragraph" w:styleId="854" w:customStyle="1">
    <w:name w:val="Основной текст 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5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SimSun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SimSu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7" w:customStyle="1">
    <w:name w:val="Normal (Web)"/>
    <w:basedOn w:val="72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42" w:afterAutospacing="0" w:line="28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2024-12-27T13:47:08Z</dcterms:modified>
</cp:coreProperties>
</file>