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80"/>
        <w:ind w:left="2835" w:right="0" w:firstLine="1985"/>
        <w:jc w:val="right"/>
        <w:widowControl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eastAsia="Lucida Sans Unicode" w:cs="Times New Roman"/>
          <w:i/>
          <w:sz w:val="26"/>
          <w:szCs w:val="26"/>
          <w:lang w:eastAsia="ru-RU"/>
        </w:rPr>
        <w:t xml:space="preserve">Приложение 1</w:t>
      </w:r>
      <w:r>
        <w:rPr>
          <w:rFonts w:ascii="Times New Roman" w:hAnsi="Times New Roman" w:cs="Times New Roman"/>
          <w:i/>
          <w:sz w:val="26"/>
          <w:szCs w:val="26"/>
        </w:rPr>
      </w:r>
      <w:r>
        <w:rPr>
          <w:rFonts w:ascii="Times New Roman" w:hAnsi="Times New Roman" w:cs="Times New Roman"/>
          <w:i/>
          <w:sz w:val="26"/>
          <w:szCs w:val="26"/>
        </w:rPr>
      </w:r>
    </w:p>
    <w:p>
      <w:pPr>
        <w:pStyle w:val="780"/>
        <w:jc w:val="right"/>
        <w:rPr>
          <w:rFonts w:ascii="Times New Roman" w:hAnsi="Times New Roman" w:cs="Times New Roman"/>
          <w:bCs/>
          <w:i/>
          <w:sz w:val="26"/>
          <w:szCs w:val="26"/>
          <w:highlight w:val="none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к постановлению Главы города Костромы</w:t>
      </w:r>
      <w:r>
        <w:rPr>
          <w:rFonts w:ascii="Times New Roman" w:hAnsi="Times New Roman" w:cs="Times New Roman"/>
          <w:bCs/>
          <w:i/>
          <w:sz w:val="26"/>
          <w:szCs w:val="26"/>
          <w:highlight w:val="none"/>
        </w:rPr>
      </w:r>
      <w:r>
        <w:rPr>
          <w:rFonts w:ascii="Times New Roman" w:hAnsi="Times New Roman" w:cs="Times New Roman"/>
          <w:bCs/>
          <w:i/>
          <w:sz w:val="26"/>
          <w:szCs w:val="26"/>
          <w:highlight w:val="none"/>
        </w:rPr>
      </w:r>
    </w:p>
    <w:p>
      <w:pPr>
        <w:pStyle w:val="780"/>
        <w:jc w:val="right"/>
        <w:rPr>
          <w:rFonts w:ascii="Times New Roman" w:hAnsi="Times New Roman" w:cs="Times New Roman"/>
          <w:bCs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от «21» января 2026 года № 5 </w:t>
      </w:r>
      <w:r>
        <w:rPr>
          <w:rFonts w:ascii="Times New Roman" w:hAnsi="Times New Roman" w:cs="Times New Roman"/>
          <w:bCs/>
          <w:i/>
          <w:sz w:val="26"/>
          <w:szCs w:val="26"/>
        </w:rPr>
      </w:r>
      <w:r>
        <w:rPr>
          <w:rFonts w:ascii="Times New Roman" w:hAnsi="Times New Roman" w:cs="Times New Roman"/>
          <w:bCs/>
          <w:i/>
          <w:sz w:val="26"/>
          <w:szCs w:val="26"/>
        </w:rPr>
      </w:r>
    </w:p>
    <w:p>
      <w:pPr>
        <w:pStyle w:val="780"/>
        <w:jc w:val="right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</w:r>
      <w:r>
        <w:rPr>
          <w:rFonts w:ascii="Times New Roman" w:hAnsi="Times New Roman" w:cs="Times New Roman"/>
          <w:i/>
          <w:sz w:val="26"/>
          <w:szCs w:val="26"/>
        </w:rPr>
      </w:r>
      <w:r>
        <w:rPr>
          <w:rFonts w:ascii="Times New Roman" w:hAnsi="Times New Roman" w:cs="Times New Roman"/>
          <w:i/>
          <w:sz w:val="26"/>
          <w:szCs w:val="26"/>
        </w:rPr>
      </w:r>
    </w:p>
    <w:p>
      <w:pPr>
        <w:pStyle w:val="780"/>
        <w:jc w:val="right"/>
        <w:rPr>
          <w:rFonts w:eastAsia="Arial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ПРОЕКТ</w:t>
      </w:r>
      <w:r>
        <w:rPr>
          <w:rFonts w:eastAsia="Arial"/>
        </w:rPr>
      </w:r>
      <w:r>
        <w:rPr>
          <w:rFonts w:eastAsia="Arial"/>
        </w:rPr>
      </w:r>
    </w:p>
    <w:tbl>
      <w:tblPr>
        <w:tblW w:w="9637" w:type="dxa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283"/>
        <w:gridCol w:w="2557"/>
        <w:gridCol w:w="4081"/>
        <w:gridCol w:w="440"/>
        <w:gridCol w:w="1991"/>
        <w:gridCol w:w="2"/>
        <w:gridCol w:w="283"/>
      </w:tblGrid>
      <w:tr>
        <w:tblPrEx/>
        <w:trPr>
          <w:trHeight w:val="731"/>
        </w:trPr>
        <w:tc>
          <w:tcPr>
            <w:gridSpan w:val="5"/>
            <w:tcW w:w="9352" w:type="dxa"/>
            <w:textDirection w:val="lrTb"/>
            <w:noWrap w:val="false"/>
          </w:tcPr>
          <w:p>
            <w:pPr>
              <w:pStyle w:val="780"/>
              <w:jc w:val="center"/>
              <w:widowControl w:val="off"/>
              <w:rPr>
                <w:rFonts w:ascii="Book Antiqua" w:hAnsi="Book Antiqua" w:cs="Times New Roman"/>
                <w:b/>
                <w:color w:val="000000"/>
                <w:spacing w:val="60"/>
                <w:sz w:val="32"/>
                <w:szCs w:val="32"/>
              </w:rPr>
            </w:pPr>
            <w:r>
              <w:rPr>
                <w:rFonts w:eastAsia="Arial"/>
              </w:rPr>
              <w:t xml:space="preserve"> </w:t>
            </w: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61340" cy="690880"/>
                      <wp:effectExtent l="0" t="0" r="0" b="0"/>
                      <wp:docPr id="1" name="_x005F_x0000_i1029" descr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_x005F_x0000_i1029" descr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61340" cy="69088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44.20pt;height:54.40pt;mso-wrap-distance-left:0.00pt;mso-wrap-distance-top:0.00pt;mso-wrap-distance-right:0.00pt;mso-wrap-distance-bottom:0.00pt;" stroked="false">
                      <v:path textboxrect="0,0,0,0"/>
                      <v:imagedata r:id="rId8" o:title=""/>
                    </v:shape>
                  </w:pict>
                </mc:Fallback>
              </mc:AlternateContent>
            </w:r>
            <w:r>
              <w:rPr>
                <w:rFonts w:ascii="Book Antiqua" w:hAnsi="Book Antiqua" w:cs="Times New Roman"/>
                <w:b/>
                <w:color w:val="000000"/>
                <w:spacing w:val="60"/>
                <w:sz w:val="32"/>
                <w:szCs w:val="32"/>
              </w:rPr>
            </w:r>
            <w:r>
              <w:rPr>
                <w:rFonts w:ascii="Book Antiqua" w:hAnsi="Book Antiqua" w:cs="Times New Roman"/>
                <w:b/>
                <w:color w:val="000000"/>
                <w:spacing w:val="60"/>
                <w:sz w:val="32"/>
                <w:szCs w:val="32"/>
              </w:rPr>
            </w:r>
          </w:p>
        </w:tc>
        <w:tc>
          <w:tcPr>
            <w:gridSpan w:val="2"/>
            <w:tcW w:w="285" w:type="dxa"/>
            <w:textDirection w:val="lrTb"/>
            <w:noWrap w:val="false"/>
          </w:tcPr>
          <w:p>
            <w:pPr>
              <w:pStyle w:val="780"/>
              <w:widowControl w:val="off"/>
              <w:rPr>
                <w:rFonts w:ascii="Book Antiqua" w:hAnsi="Book Antiqua" w:cs="Times New Roman"/>
                <w:b/>
                <w:color w:val="000000"/>
                <w:spacing w:val="60"/>
                <w:sz w:val="32"/>
                <w:szCs w:val="32"/>
              </w:rPr>
            </w:pPr>
            <w:r>
              <w:rPr>
                <w:rFonts w:ascii="Book Antiqua" w:hAnsi="Book Antiqua" w:cs="Times New Roman"/>
                <w:b/>
                <w:color w:val="000000"/>
                <w:spacing w:val="60"/>
                <w:sz w:val="32"/>
                <w:szCs w:val="32"/>
              </w:rPr>
            </w:r>
            <w:r>
              <w:rPr>
                <w:rFonts w:ascii="Book Antiqua" w:hAnsi="Book Antiqua" w:cs="Times New Roman"/>
                <w:b/>
                <w:color w:val="000000"/>
                <w:spacing w:val="60"/>
                <w:sz w:val="32"/>
                <w:szCs w:val="32"/>
              </w:rPr>
            </w:r>
            <w:r>
              <w:rPr>
                <w:rFonts w:ascii="Book Antiqua" w:hAnsi="Book Antiqua" w:cs="Times New Roman"/>
                <w:b/>
                <w:color w:val="000000"/>
                <w:spacing w:val="60"/>
                <w:sz w:val="32"/>
                <w:szCs w:val="32"/>
              </w:rPr>
            </w:r>
          </w:p>
        </w:tc>
      </w:tr>
      <w:tr>
        <w:tblPrEx/>
        <w:trPr>
          <w:trHeight w:val="1010"/>
        </w:trPr>
        <w:tc>
          <w:tcPr>
            <w:gridSpan w:val="5"/>
            <w:tcW w:w="9352" w:type="dxa"/>
            <w:textDirection w:val="lrTb"/>
            <w:noWrap w:val="false"/>
          </w:tcPr>
          <w:p>
            <w:pPr>
              <w:pStyle w:val="780"/>
              <w:jc w:val="center"/>
              <w:spacing w:before="120" w:after="0"/>
              <w:widowControl w:val="off"/>
              <w:rPr>
                <w:rFonts w:ascii="Book Antiqua" w:hAnsi="Book Antiqua" w:cs="Times New Roman"/>
                <w:b/>
                <w:color w:val="000000"/>
                <w:spacing w:val="60"/>
                <w:sz w:val="32"/>
                <w:szCs w:val="32"/>
                <w:lang w:eastAsia="ru-RU"/>
              </w:rPr>
            </w:pPr>
            <w:r>
              <w:rPr>
                <w:rFonts w:ascii="Book Antiqua" w:hAnsi="Book Antiqua" w:cs="Times New Roman"/>
                <w:b/>
                <w:color w:val="000000"/>
                <w:spacing w:val="60"/>
                <w:sz w:val="32"/>
                <w:szCs w:val="32"/>
                <w:lang w:eastAsia="ru-RU"/>
              </w:rPr>
              <w:t xml:space="preserve">АДМИНИСТРАЦИЯ ГОРОДА КОСТРОМЫ</w:t>
            </w:r>
            <w:r>
              <w:rPr>
                <w:rFonts w:ascii="Book Antiqua" w:hAnsi="Book Antiqua" w:cs="Times New Roman"/>
                <w:b/>
                <w:color w:val="000000"/>
                <w:spacing w:val="60"/>
                <w:sz w:val="32"/>
                <w:szCs w:val="32"/>
                <w:lang w:eastAsia="ru-RU"/>
              </w:rPr>
            </w:r>
            <w:r>
              <w:rPr>
                <w:rFonts w:ascii="Book Antiqua" w:hAnsi="Book Antiqua" w:cs="Times New Roman"/>
                <w:b/>
                <w:color w:val="000000"/>
                <w:spacing w:val="60"/>
                <w:sz w:val="32"/>
                <w:szCs w:val="32"/>
                <w:lang w:eastAsia="ru-RU"/>
              </w:rPr>
            </w:r>
          </w:p>
          <w:p>
            <w:pPr>
              <w:pStyle w:val="780"/>
              <w:jc w:val="center"/>
              <w:spacing w:before="240" w:after="0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  <w:lang w:eastAsia="en-US"/>
              </w:rPr>
            </w:pPr>
            <w:r>
              <w:rPr>
                <w:rFonts w:ascii="Book Antiqua" w:hAnsi="Book Antiqua" w:cs="Times New Roman"/>
                <w:b/>
                <w:color w:val="000000"/>
                <w:sz w:val="32"/>
                <w:szCs w:val="32"/>
                <w:lang w:eastAsia="ru-RU"/>
              </w:rPr>
              <w:t xml:space="preserve">ПОСТАНОВЛЕНИЕ</w:t>
            </w:r>
            <w:r>
              <w:rPr>
                <w:rFonts w:ascii="Times New Roman" w:hAnsi="Times New Roman" w:eastAsia="Calibri" w:cs="Times New Roman"/>
                <w:sz w:val="24"/>
                <w:szCs w:val="22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lang w:eastAsia="en-US"/>
              </w:rPr>
            </w:r>
          </w:p>
        </w:tc>
        <w:tc>
          <w:tcPr>
            <w:gridSpan w:val="2"/>
            <w:tcW w:w="285" w:type="dxa"/>
            <w:textDirection w:val="lrTb"/>
            <w:noWrap w:val="false"/>
          </w:tcPr>
          <w:p>
            <w:pPr>
              <w:pStyle w:val="780"/>
              <w:widowControl w:val="off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415"/>
        </w:trPr>
        <w:tc>
          <w:tcPr>
            <w:gridSpan w:val="2"/>
            <w:tcBorders>
              <w:bottom w:val="single" w:color="000000" w:sz="4" w:space="0"/>
            </w:tcBorders>
            <w:tcW w:w="2840" w:type="dxa"/>
            <w:textDirection w:val="lrTb"/>
            <w:noWrap w:val="false"/>
          </w:tcPr>
          <w:p>
            <w:pPr>
              <w:pStyle w:val="780"/>
              <w:jc w:val="both"/>
              <w:widowControl w:val="off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</w:tc>
        <w:tc>
          <w:tcPr>
            <w:tcW w:w="4081" w:type="dxa"/>
            <w:textDirection w:val="lrTb"/>
            <w:noWrap w:val="false"/>
          </w:tcPr>
          <w:p>
            <w:pPr>
              <w:pStyle w:val="780"/>
              <w:jc w:val="both"/>
              <w:widowControl w:val="off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</w:tc>
        <w:tc>
          <w:tcPr>
            <w:tcW w:w="440" w:type="dxa"/>
            <w:vAlign w:val="bottom"/>
            <w:textDirection w:val="lrTb"/>
            <w:noWrap w:val="false"/>
          </w:tcPr>
          <w:p>
            <w:pPr>
              <w:pStyle w:val="780"/>
              <w:jc w:val="center"/>
              <w:widowControl w:val="off"/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№</w:t>
            </w:r>
            <w:r/>
          </w:p>
        </w:tc>
        <w:tc>
          <w:tcPr>
            <w:tcBorders>
              <w:bottom w:val="single" w:color="000000" w:sz="4" w:space="0"/>
            </w:tcBorders>
            <w:tcW w:w="1991" w:type="dxa"/>
            <w:textDirection w:val="lrTb"/>
            <w:noWrap w:val="false"/>
          </w:tcPr>
          <w:p>
            <w:pPr>
              <w:pStyle w:val="780"/>
              <w:jc w:val="both"/>
              <w:widowControl w:val="off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</w:tc>
        <w:tc>
          <w:tcPr>
            <w:gridSpan w:val="2"/>
            <w:tcW w:w="285" w:type="dxa"/>
            <w:textDirection w:val="lrTb"/>
            <w:noWrap w:val="false"/>
          </w:tcPr>
          <w:p>
            <w:pPr>
              <w:pStyle w:val="780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</w:rPr>
            </w:r>
          </w:p>
        </w:tc>
      </w:tr>
      <w:tr>
        <w:tblPrEx/>
        <w:trPr>
          <w:trHeight w:val="324"/>
        </w:trPr>
        <w:tc>
          <w:tcPr>
            <w:gridSpan w:val="5"/>
            <w:tcW w:w="9352" w:type="dxa"/>
            <w:textDirection w:val="lrTb"/>
            <w:noWrap w:val="false"/>
          </w:tcPr>
          <w:p>
            <w:pPr>
              <w:pStyle w:val="780"/>
              <w:jc w:val="both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r>
          </w:p>
        </w:tc>
        <w:tc>
          <w:tcPr>
            <w:gridSpan w:val="2"/>
            <w:tcW w:w="285" w:type="dxa"/>
            <w:textDirection w:val="lrTb"/>
            <w:noWrap w:val="false"/>
          </w:tcPr>
          <w:p>
            <w:pPr>
              <w:pStyle w:val="780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</w:rPr>
            </w:r>
          </w:p>
        </w:tc>
      </w:tr>
      <w:tr>
        <w:tblPrEx/>
        <w:trPr>
          <w:trHeight w:val="428"/>
        </w:trPr>
        <w:tc>
          <w:tcPr>
            <w:tcW w:w="283" w:type="dxa"/>
            <w:textDirection w:val="lrTb"/>
            <w:noWrap w:val="false"/>
          </w:tcPr>
          <w:p>
            <w:pPr>
              <w:pStyle w:val="780"/>
              <w:jc w:val="both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r>
          </w:p>
        </w:tc>
        <w:tc>
          <w:tcPr>
            <w:gridSpan w:val="5"/>
            <w:tcW w:w="907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</w:rPr>
              <w:t xml:space="preserve">О предоставлении разрешения на отклонение от предельных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14:ligatures w14:val="none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14:ligatures w14:val="none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</w:rPr>
              <w:t xml:space="preserve">параметров разреш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</w:rPr>
              <w:t xml:space="preserve">енного строительства, реконструкции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14:ligatures w14:val="none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14:ligatures w14:val="none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</w:rPr>
              <w:t xml:space="preserve">объектов капитального строительс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</w:rPr>
              <w:t xml:space="preserve">тва н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</w:rPr>
              <w:t xml:space="preserve">а з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</w:rPr>
              <w:t xml:space="preserve">емельном участке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14:ligatures w14:val="none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14:ligatures w14:val="none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eastAsia="ru-RU"/>
              </w:rPr>
              <w:t xml:space="preserve">с кадастровым номе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eastAsia="ru-RU"/>
              </w:rPr>
              <w:t xml:space="preserve">р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eastAsia="ru-RU"/>
              </w:rPr>
              <w:t xml:space="preserve">ом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44:27:070109:579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, ра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сположенном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      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14:ligatures w14:val="none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14:ligatures w14:val="none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по адресу: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Российская Федерация, Костро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мская область,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14:ligatures w14:val="none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14:ligatures w14:val="none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6"/>
                <w:szCs w:val="26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городской округ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город Кострома, город Кострома,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14:ligatures w14:val="none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14:ligatures w14:val="none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6"/>
                <w:szCs w:val="26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улица Волжская 2-я, 2а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14:ligatures w14:val="none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14:ligatures w14:val="none"/>
              </w:rPr>
            </w:r>
          </w:p>
          <w:p>
            <w:pPr>
              <w:pStyle w:val="780"/>
              <w:jc w:val="center"/>
              <w:widowControl w:val="off"/>
              <w:rPr>
                <w:rFonts w:ascii="Times New Roman" w:hAnsi="Times New Roman" w:cs="Times New Roman"/>
                <w:b/>
                <w:sz w:val="26"/>
                <w:szCs w:val="24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4"/>
                <w:shd w:val="clear" w:color="auto" w:fill="auto"/>
              </w:rPr>
            </w:r>
            <w:r>
              <w:rPr>
                <w:rFonts w:ascii="Times New Roman" w:hAnsi="Times New Roman" w:cs="Times New Roman"/>
                <w:b/>
                <w:sz w:val="26"/>
                <w:szCs w:val="24"/>
                <w:highlight w:val="none"/>
                <w:shd w:val="clear" w:color="auto" w:fill="auto"/>
              </w:rPr>
            </w:r>
            <w:r>
              <w:rPr>
                <w:rFonts w:ascii="Times New Roman" w:hAnsi="Times New Roman" w:cs="Times New Roman"/>
                <w:b/>
                <w:sz w:val="26"/>
                <w:szCs w:val="24"/>
                <w:highlight w:val="none"/>
                <w:shd w:val="clear" w:color="auto" w:fill="auto"/>
              </w:rPr>
            </w:r>
          </w:p>
        </w:tc>
        <w:tc>
          <w:tcPr>
            <w:tcW w:w="283" w:type="dxa"/>
            <w:textDirection w:val="lrTb"/>
            <w:noWrap w:val="false"/>
          </w:tcPr>
          <w:p>
            <w:pPr>
              <w:pStyle w:val="780"/>
              <w:jc w:val="both"/>
              <w:widowControl w:val="off"/>
              <w:rPr>
                <w:rFonts w:ascii="Times New Roman" w:hAnsi="Times New Roman" w:eastAsia="Calibri" w:cs="Times New Roman"/>
                <w:b/>
                <w:sz w:val="24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highlight w:val="none"/>
                <w:shd w:val="clear" w:color="auto" w:fill="auto"/>
              </w:rPr>
            </w:r>
          </w:p>
        </w:tc>
      </w:tr>
    </w:tbl>
    <w:p>
      <w:pPr>
        <w:ind w:left="0" w:right="-2" w:firstLine="709"/>
        <w:jc w:val="both"/>
        <w:widowControl/>
        <w:tabs>
          <w:tab w:val="clear" w:pos="708" w:leader="none"/>
          <w:tab w:val="left" w:pos="851" w:leader="none"/>
        </w:tabs>
        <w:rPr>
          <w:highlight w:val="none"/>
          <w:shd w:val="clear" w:color="auto" w:fill="auto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На основании заявления граждан от 15 января 2026 года    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                             № 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1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-ОПП-2026, в соответствии со статьей 40 Градостроительного кодекса                 Российской Федерации, протоколом публичных слуш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аний по вопросу                         предоставления разрешения на о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тклонение от предельных параметров                           разрешенного строительства,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bidi="ar-SA"/>
        </w:rPr>
        <w:t xml:space="preserve">реконструкции объектов капитального строительства на земельном участке с кадастровым номер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bidi="ar-SA"/>
        </w:rPr>
        <w:t xml:space="preserve">ом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44:27:070109:579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, расположенном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           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по адресу: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Российская Федерация, Костро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мская область, городской округ                 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город Кострома, город Кострома, улица Волжская 2-я, 2а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bidi="ar-SA"/>
        </w:rPr>
        <w:t xml:space="preserve">,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bidi="ar-SA"/>
        </w:rPr>
        <w:t xml:space="preserve">с 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уче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том                         заключения о результатах публичных слушаний, рекомендаций Ко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миссии                          по подготовке проекта Правил землепользования и застройки города Костромы, </w:t>
      </w:r>
      <w:r>
        <w:rPr>
          <w:rFonts w:ascii="Times New Roman" w:hAnsi="Times New Roman" w:cs="Times New Roman"/>
          <w:sz w:val="26"/>
          <w:szCs w:val="26"/>
        </w:rPr>
        <w:t xml:space="preserve">руководствуясь частью 2 статьи 37, статьей 42, частью 1 статьи 57 Устава                города Костромы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,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896"/>
        <w:ind w:left="0" w:right="0" w:firstLine="709"/>
        <w:spacing w:before="360" w:after="360"/>
        <w:rPr>
          <w:highlight w:val="none"/>
          <w:shd w:val="clear" w:color="auto" w:fill="auto"/>
        </w:rPr>
      </w:pPr>
      <w:r>
        <w:rPr>
          <w:spacing w:val="40"/>
          <w:szCs w:val="26"/>
          <w:shd w:val="clear" w:color="auto" w:fill="auto"/>
        </w:rPr>
        <w:t xml:space="preserve">ПОСТАНОВЛЯ</w:t>
      </w:r>
      <w:r>
        <w:rPr>
          <w:szCs w:val="26"/>
          <w:shd w:val="clear" w:color="auto" w:fill="auto"/>
        </w:rPr>
        <w:t xml:space="preserve">Ю: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14:ligatures w14:val="none"/>
        </w:rPr>
      </w:pPr>
      <w:r>
        <w:rPr>
          <w:rFonts w:ascii="Times New Roman" w:hAnsi="Times New Roman" w:cs="Times New Roman"/>
          <w:sz w:val="26"/>
          <w:szCs w:val="24"/>
          <w:shd w:val="clear" w:color="auto" w:fill="auto"/>
        </w:rPr>
        <w:t xml:space="preserve">1. Предоставить разрешение 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на отклонение от предельных параметров           разрешенного строительства, реконструкции объектов капитального строительства на земельном участке с кадастровым номер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bidi="ar-SA"/>
        </w:rPr>
        <w:t xml:space="preserve">ом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44:27:070109:579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 площадью               850,59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zh-CN" w:bidi="ar-SA"/>
        </w:rPr>
        <w:t xml:space="preserve">квадратного метра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,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zh-CN" w:bidi="ar-SA"/>
        </w:rPr>
        <w:t xml:space="preserve">расположенном по адресу: Российская Федерация,                   Костромская область, городской округ город Кострома, город Кострома,                                         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улица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Волжская 2-я, 2а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zh-CN" w:bidi="ar-SA"/>
        </w:rPr>
        <w:t xml:space="preserve">, уста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bidi="ar-SA"/>
        </w:rPr>
        <w:t xml:space="preserve">новив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zh-CN" w:bidi="ar-SA"/>
        </w:rPr>
        <w:t xml:space="preserve">минимальные отступы от границ земельного участка с юго-западной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zh-CN" w:bidi="ar-SA"/>
        </w:rPr>
        <w:t xml:space="preserve">стороны от точки 1 до точки 2 - 1,9 м,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zh-CN" w:bidi="ar-SA"/>
        </w:rPr>
        <w:t xml:space="preserve">с юго-западной              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zh-CN" w:bidi="ar-SA"/>
        </w:rPr>
        <w:t xml:space="preserve">стороны от точки 2 до точки 3 - 2,8 м,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zh-CN" w:bidi="ar-SA"/>
        </w:rPr>
        <w:t xml:space="preserve">с юго-западной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zh-CN" w:bidi="ar-SA"/>
        </w:rPr>
        <w:t xml:space="preserve">стороны от точки 3               до точки 4 - 1,6 м,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zh-CN" w:bidi="ar-SA"/>
        </w:rPr>
        <w:t xml:space="preserve">с юго-западной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zh-CN" w:bidi="ar-SA"/>
        </w:rPr>
        <w:t xml:space="preserve">стороны от точки 4 до точки 5 - 0,7 м,                      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zh-CN" w:bidi="ar-SA"/>
        </w:rPr>
        <w:t xml:space="preserve">с юго-восточной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zh-CN" w:bidi="ar-SA"/>
        </w:rPr>
        <w:t xml:space="preserve">стороны от точки 6 до точки 7 - 0 м,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zh-CN" w:bidi="ar-SA"/>
        </w:rPr>
        <w:t xml:space="preserve">с юго-восточной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zh-CN" w:bidi="ar-SA"/>
        </w:rPr>
        <w:t xml:space="preserve">стороны               от точки 7 до точки 8 - 0,8 м,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zh-CN" w:bidi="ar-SA"/>
        </w:rPr>
        <w:t xml:space="preserve">с юго-восточной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zh-CN" w:bidi="ar-SA"/>
        </w:rPr>
        <w:t xml:space="preserve">стороны от точки 8 до точки 9 - 0 м,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zh-CN" w:bidi="ar-SA"/>
        </w:rPr>
        <w:t xml:space="preserve">с юго-восточной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zh-CN" w:bidi="ar-SA"/>
        </w:rPr>
        <w:t xml:space="preserve">стороны от точки 9 до точки 10 - 0,8 м,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zh-CN" w:bidi="ar-SA"/>
        </w:rPr>
        <w:t xml:space="preserve">с юго-восточной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zh-CN" w:bidi="ar-SA"/>
        </w:rPr>
        <w:t xml:space="preserve">стороны от точки 10 до точки 11 - 0 м,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zh-CN" w:bidi="ar-SA"/>
        </w:rPr>
        <w:t xml:space="preserve">с юго-восточной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zh-CN" w:bidi="ar-SA"/>
        </w:rPr>
        <w:t xml:space="preserve">стороны от точки 11 до точки 12 - 0,8 м,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zh-CN" w:bidi="ar-SA"/>
        </w:rPr>
        <w:t xml:space="preserve"> в целях реконструкции нежилого здания под объект делового управления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, согласно приложению к настоящему постановлению.</w:t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14:ligatures w14:val="none"/>
        </w:rPr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14:ligatures w14:val="none"/>
        </w:rPr>
      </w:r>
    </w:p>
    <w:p>
      <w:pPr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rFonts w:ascii="Times New Roman" w:hAnsi="Times New Roman" w:cs="Times New Roman"/>
          <w:sz w:val="26"/>
          <w:szCs w:val="26"/>
          <w14:ligatures w14:val="none"/>
        </w:rPr>
      </w:pPr>
      <w:r>
        <w:rPr>
          <w:rFonts w:ascii="Times New Roman" w:hAnsi="Times New Roman" w:cs="Times New Roman"/>
          <w:sz w:val="26"/>
          <w:szCs w:val="26"/>
          <w14:ligatures w14:val="none"/>
        </w:rPr>
      </w:r>
      <w:r>
        <w:rPr>
          <w:rFonts w:ascii="Times New Roman" w:hAnsi="Times New Roman" w:cs="Times New Roman"/>
          <w:sz w:val="26"/>
          <w:szCs w:val="26"/>
          <w14:ligatures w14:val="none"/>
        </w:rPr>
      </w:r>
      <w:r>
        <w:rPr>
          <w:rFonts w:ascii="Times New Roman" w:hAnsi="Times New Roman" w:cs="Times New Roman"/>
          <w:sz w:val="26"/>
          <w:szCs w:val="26"/>
          <w14:ligatures w14:val="none"/>
        </w:rPr>
      </w:r>
    </w:p>
    <w:p>
      <w:pPr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rFonts w:ascii="Times New Roman" w:hAnsi="Times New Roman" w:cs="Times New Roman"/>
          <w:sz w:val="26"/>
          <w:szCs w:val="26"/>
          <w14:ligatures w14:val="none"/>
        </w:rPr>
      </w:pPr>
      <w:r>
        <w:rPr>
          <w:rFonts w:ascii="Times New Roman" w:hAnsi="Times New Roman" w:cs="Times New Roman"/>
          <w:sz w:val="26"/>
          <w:szCs w:val="26"/>
          <w14:ligatures w14:val="none"/>
        </w:rPr>
      </w:r>
      <w:r>
        <w:rPr>
          <w:rFonts w:ascii="Times New Roman" w:hAnsi="Times New Roman" w:cs="Times New Roman"/>
          <w:sz w:val="26"/>
          <w:szCs w:val="26"/>
          <w14:ligatures w14:val="none"/>
        </w:rPr>
      </w:r>
      <w:r>
        <w:rPr>
          <w:rFonts w:ascii="Times New Roman" w:hAnsi="Times New Roman" w:cs="Times New Roman"/>
          <w:sz w:val="26"/>
          <w:szCs w:val="26"/>
          <w14:ligatures w14:val="none"/>
        </w:rPr>
      </w:r>
    </w:p>
    <w:p>
      <w:pPr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rFonts w:ascii="Times New Roman" w:hAnsi="Times New Roman" w:cs="Times New Roman"/>
          <w:sz w:val="26"/>
          <w:szCs w:val="26"/>
          <w14:ligatures w14:val="none"/>
        </w:rPr>
      </w:pP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14:ligatures w14:val="none"/>
        </w:rPr>
      </w:r>
      <w:r>
        <w:rPr>
          <w:rFonts w:ascii="Times New Roman" w:hAnsi="Times New Roman" w:cs="Times New Roman"/>
          <w:sz w:val="26"/>
          <w:szCs w:val="26"/>
          <w14:ligatures w14:val="none"/>
        </w:rPr>
      </w:r>
      <w:r>
        <w:rPr>
          <w:rFonts w:ascii="Times New Roman" w:hAnsi="Times New Roman" w:cs="Times New Roman"/>
          <w:sz w:val="26"/>
          <w:szCs w:val="26"/>
          <w14:ligatures w14:val="none"/>
        </w:rPr>
      </w:r>
    </w:p>
    <w:p>
      <w:pPr>
        <w:pStyle w:val="780"/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2.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eastAsia="ru-RU"/>
        </w:rPr>
        <w:t xml:space="preserve">Настоящее постановление подлежит официальному опубликованию</w:t>
      </w:r>
      <w:r>
        <w:rPr>
          <w:rFonts w:ascii="Times New Roman" w:hAnsi="Times New Roman" w:cs="Times New Roman"/>
          <w:b w:val="0"/>
          <w:bCs w:val="0"/>
          <w:sz w:val="26"/>
          <w:szCs w:val="24"/>
          <w:lang w:eastAsia="ru-RU"/>
        </w:rPr>
        <w:t xml:space="preserve">                    и размещению на официальном сайте Администрации города Костромы                            в информационно – телекоммуникационной сети «Интернет».</w:t>
      </w:r>
      <w:r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r>
      <w:r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r>
    </w:p>
    <w:p>
      <w:pPr>
        <w:jc w:val="both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jc w:val="both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pStyle w:val="780"/>
        <w:jc w:val="both"/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</w:rPr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</w:rPr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</w:rPr>
      </w:r>
    </w:p>
    <w:p>
      <w:pPr>
        <w:pStyle w:val="780"/>
        <w:jc w:val="both"/>
        <w:spacing w:before="0" w:after="0" w:line="240" w:lineRule="auto"/>
        <w:widowControl/>
      </w:pPr>
      <w:r>
        <w:rPr>
          <w:rFonts w:ascii="Times New Roman" w:hAnsi="Times New Roman" w:cs="Times New Roman"/>
          <w:sz w:val="26"/>
          <w:szCs w:val="24"/>
        </w:rPr>
        <w:t xml:space="preserve">Временно исполняющий полномочия </w:t>
      </w:r>
      <w:r/>
    </w:p>
    <w:p>
      <w:pPr>
        <w:pStyle w:val="780"/>
        <w:ind w:left="0" w:right="0" w:firstLine="0"/>
        <w:jc w:val="both"/>
        <w:spacing w:before="0" w:after="0"/>
        <w:widowControl/>
        <w:rPr>
          <w:highlight w:val="none"/>
          <w:shd w:val="clear" w:color="auto" w:fill="auto"/>
        </w:rPr>
      </w:pPr>
      <w:r>
        <w:rPr>
          <w:rFonts w:ascii="Times New Roman" w:hAnsi="Times New Roman" w:cs="Times New Roman"/>
          <w:sz w:val="26"/>
          <w:szCs w:val="24"/>
        </w:rPr>
        <w:t xml:space="preserve">Главы города Костромы                                                                             А. В. Смирнов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sectPr>
      <w:footnotePr/>
      <w:endnotePr/>
      <w:type w:val="nextPage"/>
      <w:pgSz w:w="11906" w:h="16838" w:orient="portrait"/>
      <w:pgMar w:top="284" w:right="850" w:bottom="0" w:left="1701" w:header="0" w:footer="0" w:gutter="0"/>
      <w:pgNumType w:start="2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Mono">
    <w:panose1 w:val="02070409020205020404"/>
  </w:font>
  <w:font w:name="Calibri">
    <w:panose1 w:val="020F0502020204030204"/>
  </w:font>
  <w:font w:name="Lucida Sans Unicode">
    <w:panose1 w:val="020B0602030504020204"/>
  </w:font>
  <w:font w:name="Book Antiqua">
    <w:panose1 w:val="02040602050305030304"/>
  </w:font>
  <w:font w:name="Tahoma">
    <w:panose1 w:val="020B0604030504040204"/>
  </w:font>
  <w:font w:name="Arial">
    <w:panose1 w:val="020B0604020202020204"/>
  </w:font>
  <w:font w:name="NSimSun">
    <w:panose1 w:val="02010609030101010101"/>
  </w:font>
  <w:font w:name="Courier New">
    <w:panose1 w:val="02070309020205020404"/>
  </w:font>
  <w:font w:name="Mangal">
    <w:panose1 w:val="02040503050203030202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NSimSun" w:cs="Mangal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654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55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56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57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58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59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0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61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2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3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4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5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6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7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8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9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0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1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2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3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4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5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6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7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8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9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0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1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2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83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84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85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686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687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688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689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690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691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692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693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694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695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696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697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698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699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00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01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02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03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18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19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20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21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22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23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24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39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0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1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2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3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4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5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46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47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48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49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50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51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52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53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54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55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56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57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58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59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60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61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62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63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64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65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66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67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68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69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0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71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72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73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74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75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76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77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78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79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780" w:default="1">
    <w:name w:val="Normal"/>
    <w:qFormat/>
    <w:pPr>
      <w:jc w:val="left"/>
      <w:spacing w:before="0" w:after="0"/>
      <w:widowControl w:val="off"/>
    </w:pPr>
    <w:rPr>
      <w:rFonts w:ascii="Arial" w:hAnsi="Arial" w:eastAsia="Times New Roman" w:cs="Arial"/>
      <w:color w:val="auto"/>
      <w:sz w:val="18"/>
      <w:szCs w:val="18"/>
      <w:lang w:val="ru-RU" w:eastAsia="zh-CN" w:bidi="ar-SA"/>
    </w:rPr>
  </w:style>
  <w:style w:type="paragraph" w:styleId="781">
    <w:name w:val="Heading 1"/>
    <w:basedOn w:val="78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82">
    <w:name w:val="Heading 2"/>
    <w:basedOn w:val="78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83">
    <w:name w:val="Heading 3"/>
    <w:basedOn w:val="78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84">
    <w:name w:val="Heading 4"/>
    <w:basedOn w:val="78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85">
    <w:name w:val="Heading 5"/>
    <w:basedOn w:val="78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86">
    <w:name w:val="Heading 6"/>
    <w:basedOn w:val="78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87">
    <w:name w:val="Heading 7"/>
    <w:basedOn w:val="78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88">
    <w:name w:val="Heading 8"/>
    <w:basedOn w:val="78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89">
    <w:name w:val="Heading 9"/>
    <w:basedOn w:val="78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90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791">
    <w:name w:val="Heading 2 Char"/>
    <w:uiPriority w:val="9"/>
    <w:qFormat/>
    <w:rPr>
      <w:rFonts w:ascii="Arial" w:hAnsi="Arial" w:eastAsia="Arial" w:cs="Arial"/>
      <w:sz w:val="34"/>
    </w:rPr>
  </w:style>
  <w:style w:type="character" w:styleId="792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793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794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795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96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797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798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799">
    <w:name w:val="Title Char"/>
    <w:uiPriority w:val="10"/>
    <w:qFormat/>
    <w:rPr>
      <w:sz w:val="48"/>
      <w:szCs w:val="48"/>
    </w:rPr>
  </w:style>
  <w:style w:type="character" w:styleId="800">
    <w:name w:val="Subtitle Char"/>
    <w:uiPriority w:val="11"/>
    <w:qFormat/>
    <w:rPr>
      <w:sz w:val="24"/>
      <w:szCs w:val="24"/>
    </w:rPr>
  </w:style>
  <w:style w:type="character" w:styleId="801">
    <w:name w:val="Quote Char"/>
    <w:uiPriority w:val="29"/>
    <w:qFormat/>
    <w:rPr>
      <w:i/>
    </w:rPr>
  </w:style>
  <w:style w:type="character" w:styleId="802">
    <w:name w:val="Intense Quote Char"/>
    <w:uiPriority w:val="30"/>
    <w:qFormat/>
    <w:rPr>
      <w:i/>
    </w:rPr>
  </w:style>
  <w:style w:type="character" w:styleId="803">
    <w:name w:val="Header Char"/>
    <w:uiPriority w:val="99"/>
    <w:qFormat/>
  </w:style>
  <w:style w:type="character" w:styleId="804">
    <w:name w:val="Footer Char"/>
    <w:uiPriority w:val="99"/>
    <w:qFormat/>
  </w:style>
  <w:style w:type="character" w:styleId="805">
    <w:name w:val="Caption Char"/>
    <w:uiPriority w:val="99"/>
    <w:qFormat/>
  </w:style>
  <w:style w:type="character" w:styleId="806">
    <w:name w:val="Hyperlink"/>
    <w:uiPriority w:val="99"/>
    <w:unhideWhenUsed/>
    <w:rPr>
      <w:color w:val="0000ff" w:themeColor="hyperlink"/>
      <w:u w:val="single"/>
    </w:rPr>
  </w:style>
  <w:style w:type="character" w:styleId="807">
    <w:name w:val="Footnote Text Char"/>
    <w:uiPriority w:val="99"/>
    <w:qFormat/>
    <w:rPr>
      <w:sz w:val="18"/>
    </w:rPr>
  </w:style>
  <w:style w:type="character" w:styleId="808">
    <w:name w:val="Символ сноски"/>
    <w:uiPriority w:val="99"/>
    <w:unhideWhenUsed/>
    <w:qFormat/>
    <w:rPr>
      <w:vertAlign w:val="superscript"/>
    </w:rPr>
  </w:style>
  <w:style w:type="character" w:styleId="809">
    <w:name w:val="footnote reference"/>
    <w:rPr>
      <w:vertAlign w:val="superscript"/>
    </w:rPr>
  </w:style>
  <w:style w:type="character" w:styleId="810">
    <w:name w:val="Endnote Text Char"/>
    <w:uiPriority w:val="99"/>
    <w:qFormat/>
    <w:rPr>
      <w:sz w:val="20"/>
    </w:rPr>
  </w:style>
  <w:style w:type="character" w:styleId="811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812">
    <w:name w:val="endnote reference"/>
    <w:rPr>
      <w:vertAlign w:val="superscript"/>
    </w:rPr>
  </w:style>
  <w:style w:type="character" w:styleId="813">
    <w:name w:val="Основной шрифт абзаца"/>
    <w:qFormat/>
  </w:style>
  <w:style w:type="character" w:styleId="814">
    <w:name w:val="Absatz-Standardschriftart"/>
    <w:qFormat/>
  </w:style>
  <w:style w:type="character" w:styleId="815">
    <w:name w:val="Основной шрифт абзаца4"/>
    <w:qFormat/>
  </w:style>
  <w:style w:type="character" w:styleId="816">
    <w:name w:val="WW-Absatz-Standardschriftart"/>
    <w:qFormat/>
  </w:style>
  <w:style w:type="character" w:styleId="817">
    <w:name w:val="WW-Absatz-Standardschriftart1"/>
    <w:qFormat/>
  </w:style>
  <w:style w:type="character" w:styleId="818">
    <w:name w:val="WW-Absatz-Standardschriftart11"/>
    <w:qFormat/>
  </w:style>
  <w:style w:type="character" w:styleId="819">
    <w:name w:val="WW-Absatz-Standardschriftart111"/>
    <w:qFormat/>
  </w:style>
  <w:style w:type="character" w:styleId="820">
    <w:name w:val="WW-Absatz-Standardschriftart1111"/>
    <w:qFormat/>
  </w:style>
  <w:style w:type="character" w:styleId="821">
    <w:name w:val="WW-Absatz-Standardschriftart11111"/>
    <w:qFormat/>
  </w:style>
  <w:style w:type="character" w:styleId="822">
    <w:name w:val="WW-Absatz-Standardschriftart111111"/>
    <w:qFormat/>
  </w:style>
  <w:style w:type="character" w:styleId="823">
    <w:name w:val="WW-Absatz-Standardschriftart1111111"/>
    <w:qFormat/>
  </w:style>
  <w:style w:type="character" w:styleId="824">
    <w:name w:val="WW-Absatz-Standardschriftart11111111"/>
    <w:qFormat/>
  </w:style>
  <w:style w:type="character" w:styleId="825">
    <w:name w:val="WW-Absatz-Standardschriftart111111111"/>
    <w:qFormat/>
  </w:style>
  <w:style w:type="character" w:styleId="826">
    <w:name w:val="WW-Absatz-Standardschriftart1111111111"/>
    <w:qFormat/>
  </w:style>
  <w:style w:type="character" w:styleId="827">
    <w:name w:val="WW-Absatz-Standardschriftart11111111111"/>
    <w:qFormat/>
  </w:style>
  <w:style w:type="character" w:styleId="828">
    <w:name w:val="WW-Absatz-Standardschriftart111111111111"/>
    <w:qFormat/>
  </w:style>
  <w:style w:type="character" w:styleId="829">
    <w:name w:val="WW-Absatz-Standardschriftart1111111111111"/>
    <w:qFormat/>
  </w:style>
  <w:style w:type="character" w:styleId="830">
    <w:name w:val="WW-Absatz-Standardschriftart11111111111111"/>
    <w:qFormat/>
  </w:style>
  <w:style w:type="character" w:styleId="831">
    <w:name w:val="WW-Absatz-Standardschriftart111111111111111"/>
    <w:qFormat/>
  </w:style>
  <w:style w:type="character" w:styleId="832">
    <w:name w:val="WW-Absatz-Standardschriftart1111111111111111"/>
    <w:qFormat/>
  </w:style>
  <w:style w:type="character" w:styleId="833">
    <w:name w:val="WW-Absatz-Standardschriftart11111111111111111"/>
    <w:qFormat/>
  </w:style>
  <w:style w:type="character" w:styleId="834">
    <w:name w:val="WW-Absatz-Standardschriftart111111111111111111"/>
    <w:qFormat/>
  </w:style>
  <w:style w:type="character" w:styleId="835">
    <w:name w:val="WW-Absatz-Standardschriftart1111111111111111111"/>
    <w:qFormat/>
  </w:style>
  <w:style w:type="character" w:styleId="836">
    <w:name w:val="WW-Absatz-Standardschriftart11111111111111111111"/>
    <w:qFormat/>
  </w:style>
  <w:style w:type="character" w:styleId="837">
    <w:name w:val="WW-Absatz-Standardschriftart111111111111111111111"/>
    <w:qFormat/>
  </w:style>
  <w:style w:type="character" w:styleId="838">
    <w:name w:val="WW-Absatz-Standardschriftart1111111111111111111111"/>
    <w:qFormat/>
  </w:style>
  <w:style w:type="character" w:styleId="839">
    <w:name w:val="WW-Absatz-Standardschriftart11111111111111111111111"/>
    <w:qFormat/>
  </w:style>
  <w:style w:type="character" w:styleId="840">
    <w:name w:val="WW-Absatz-Standardschriftart111111111111111111111111"/>
    <w:qFormat/>
  </w:style>
  <w:style w:type="character" w:styleId="841">
    <w:name w:val="WW-Absatz-Standardschriftart1111111111111111111111111"/>
    <w:qFormat/>
  </w:style>
  <w:style w:type="character" w:styleId="842">
    <w:name w:val="WW-Absatz-Standardschriftart11111111111111111111111111"/>
    <w:qFormat/>
  </w:style>
  <w:style w:type="character" w:styleId="843">
    <w:name w:val="WW-Absatz-Standardschriftart111111111111111111111111111"/>
    <w:qFormat/>
  </w:style>
  <w:style w:type="character" w:styleId="844">
    <w:name w:val="WW-Absatz-Standardschriftart1111111111111111111111111111"/>
    <w:qFormat/>
  </w:style>
  <w:style w:type="character" w:styleId="845">
    <w:name w:val="WW-Absatz-Standardschriftart11111111111111111111111111111"/>
    <w:qFormat/>
  </w:style>
  <w:style w:type="character" w:styleId="846">
    <w:name w:val="WW-Absatz-Standardschriftart111111111111111111111111111111"/>
    <w:qFormat/>
  </w:style>
  <w:style w:type="character" w:styleId="847">
    <w:name w:val="Основной шрифт абзаца3"/>
    <w:qFormat/>
  </w:style>
  <w:style w:type="character" w:styleId="848">
    <w:name w:val="WW-Absatz-Standardschriftart1111111111111111111111111111111"/>
    <w:qFormat/>
  </w:style>
  <w:style w:type="character" w:styleId="849">
    <w:name w:val="WW-Absatz-Standardschriftart11111111111111111111111111111111"/>
    <w:qFormat/>
  </w:style>
  <w:style w:type="character" w:styleId="850">
    <w:name w:val="Основной шрифт абзаца2"/>
    <w:qFormat/>
  </w:style>
  <w:style w:type="character" w:styleId="851">
    <w:name w:val="WW-Absatz-Standardschriftart111111111111111111111111111111111"/>
    <w:qFormat/>
  </w:style>
  <w:style w:type="character" w:styleId="852">
    <w:name w:val="Основной шрифт абзаца1"/>
    <w:qFormat/>
  </w:style>
  <w:style w:type="character" w:styleId="853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854">
    <w:name w:val="Верхний колонтитул Знак"/>
    <w:qFormat/>
    <w:rPr>
      <w:rFonts w:ascii="Arial" w:hAnsi="Arial" w:eastAsia="Times New Roman" w:cs="Arial"/>
      <w:sz w:val="18"/>
      <w:szCs w:val="18"/>
    </w:rPr>
  </w:style>
  <w:style w:type="character" w:styleId="855">
    <w:name w:val="Нижний колонтитул Знак"/>
    <w:qFormat/>
    <w:rPr>
      <w:rFonts w:ascii="Arial" w:hAnsi="Arial" w:eastAsia="Times New Roman" w:cs="Arial"/>
      <w:sz w:val="18"/>
      <w:szCs w:val="18"/>
    </w:rPr>
  </w:style>
  <w:style w:type="character" w:styleId="856" w:default="1">
    <w:name w:val="Default Paragraph Font"/>
    <w:uiPriority w:val="1"/>
    <w:semiHidden/>
    <w:unhideWhenUsed/>
    <w:qFormat/>
  </w:style>
  <w:style w:type="paragraph" w:styleId="857">
    <w:name w:val="Заголовок"/>
    <w:basedOn w:val="780"/>
    <w:next w:val="858"/>
    <w:qFormat/>
    <w:pPr>
      <w:keepNext/>
      <w:spacing w:before="240" w:after="120"/>
    </w:pPr>
    <w:rPr>
      <w:rFonts w:ascii="Times New Roman" w:hAnsi="Times New Roman" w:eastAsia="Lucida Sans Unicode" w:cs="Tahoma"/>
      <w:sz w:val="28"/>
      <w:szCs w:val="28"/>
    </w:rPr>
  </w:style>
  <w:style w:type="paragraph" w:styleId="858">
    <w:name w:val="Body Text"/>
    <w:basedOn w:val="780"/>
    <w:pPr>
      <w:spacing w:before="0" w:after="120"/>
    </w:pPr>
  </w:style>
  <w:style w:type="paragraph" w:styleId="859">
    <w:name w:val="List"/>
    <w:basedOn w:val="858"/>
    <w:rPr>
      <w:rFonts w:cs="Tahoma"/>
    </w:rPr>
  </w:style>
  <w:style w:type="paragraph" w:styleId="860">
    <w:name w:val="Caption"/>
    <w:basedOn w:val="780"/>
    <w:link w:val="805"/>
    <w:uiPriority w:val="35"/>
    <w:semiHidden/>
    <w:unhideWhenUsed/>
    <w:qFormat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861">
    <w:name w:val="Указатель"/>
    <w:basedOn w:val="780"/>
    <w:qFormat/>
    <w:pPr>
      <w:suppressLineNumbers/>
    </w:pPr>
    <w:rPr>
      <w:rFonts w:cs="Mangal"/>
    </w:rPr>
  </w:style>
  <w:style w:type="paragraph" w:styleId="862">
    <w:name w:val="List Paragraph"/>
    <w:basedOn w:val="780"/>
    <w:uiPriority w:val="34"/>
    <w:qFormat/>
    <w:pPr>
      <w:contextualSpacing/>
      <w:ind w:left="720" w:firstLine="0"/>
      <w:spacing w:before="0" w:after="0"/>
    </w:pPr>
  </w:style>
  <w:style w:type="paragraph" w:styleId="863">
    <w:name w:val="No Spacing"/>
    <w:uiPriority w:val="1"/>
    <w:qFormat/>
    <w:pPr>
      <w:jc w:val="left"/>
      <w:spacing w:before="0" w:after="0" w:line="240" w:lineRule="auto"/>
      <w:widowControl/>
    </w:pPr>
    <w:rPr>
      <w:rFonts w:ascii="Times New Roman" w:hAnsi="Times New Roman" w:eastAsia="NSimSun" w:cs="Mangal"/>
      <w:color w:val="auto"/>
      <w:sz w:val="20"/>
      <w:szCs w:val="20"/>
      <w:lang w:val="ru-RU" w:eastAsia="zh-CN" w:bidi="hi-IN"/>
    </w:rPr>
  </w:style>
  <w:style w:type="paragraph" w:styleId="864">
    <w:name w:val="Title"/>
    <w:basedOn w:val="780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865">
    <w:name w:val="Subtitle"/>
    <w:basedOn w:val="780"/>
    <w:uiPriority w:val="11"/>
    <w:qFormat/>
    <w:pPr>
      <w:spacing w:before="200" w:after="200"/>
    </w:pPr>
    <w:rPr>
      <w:sz w:val="24"/>
      <w:szCs w:val="24"/>
    </w:rPr>
  </w:style>
  <w:style w:type="paragraph" w:styleId="866">
    <w:name w:val="Quote"/>
    <w:basedOn w:val="780"/>
    <w:uiPriority w:val="29"/>
    <w:qFormat/>
    <w:pPr>
      <w:ind w:left="720" w:right="720" w:firstLine="0"/>
    </w:pPr>
    <w:rPr>
      <w:i/>
    </w:rPr>
  </w:style>
  <w:style w:type="paragraph" w:styleId="867">
    <w:name w:val="Intense Quote"/>
    <w:basedOn w:val="780"/>
    <w:uiPriority w:val="30"/>
    <w:qFormat/>
    <w:pPr>
      <w:ind w:left="720" w:right="720" w:firstLine="0"/>
      <w:spacing w:before="0" w:after="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868">
    <w:name w:val="Колонтитул"/>
    <w:basedOn w:val="780"/>
    <w:qFormat/>
    <w:pPr>
      <w:tabs>
        <w:tab w:val="clear" w:pos="708" w:leader="none"/>
        <w:tab w:val="center" w:pos="4819" w:leader="none"/>
        <w:tab w:val="right" w:pos="9638" w:leader="none"/>
      </w:tabs>
      <w:suppressLineNumbers/>
    </w:pPr>
  </w:style>
  <w:style w:type="paragraph" w:styleId="869">
    <w:name w:val="Header"/>
    <w:basedOn w:val="780"/>
    <w:uiPriority w:val="99"/>
    <w:unhideWhenUsed/>
  </w:style>
  <w:style w:type="paragraph" w:styleId="870">
    <w:name w:val="Footer"/>
    <w:basedOn w:val="780"/>
    <w:uiPriority w:val="99"/>
    <w:unhideWhenUsed/>
  </w:style>
  <w:style w:type="paragraph" w:styleId="871">
    <w:name w:val="footnote text"/>
    <w:basedOn w:val="780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872">
    <w:name w:val="endnote text"/>
    <w:basedOn w:val="780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873">
    <w:name w:val="toc 1"/>
    <w:basedOn w:val="780"/>
    <w:uiPriority w:val="39"/>
    <w:unhideWhenUsed/>
    <w:pPr>
      <w:ind w:left="0" w:right="0" w:firstLine="0"/>
      <w:spacing w:before="0" w:after="57"/>
    </w:pPr>
  </w:style>
  <w:style w:type="paragraph" w:styleId="874">
    <w:name w:val="toc 2"/>
    <w:basedOn w:val="780"/>
    <w:uiPriority w:val="39"/>
    <w:unhideWhenUsed/>
    <w:pPr>
      <w:ind w:left="283" w:right="0" w:firstLine="0"/>
      <w:spacing w:before="0" w:after="57"/>
    </w:pPr>
  </w:style>
  <w:style w:type="paragraph" w:styleId="875">
    <w:name w:val="toc 3"/>
    <w:basedOn w:val="780"/>
    <w:uiPriority w:val="39"/>
    <w:unhideWhenUsed/>
    <w:pPr>
      <w:ind w:left="567" w:right="0" w:firstLine="0"/>
      <w:spacing w:before="0" w:after="57"/>
    </w:pPr>
  </w:style>
  <w:style w:type="paragraph" w:styleId="876">
    <w:name w:val="toc 4"/>
    <w:basedOn w:val="780"/>
    <w:uiPriority w:val="39"/>
    <w:unhideWhenUsed/>
    <w:pPr>
      <w:ind w:left="850" w:right="0" w:firstLine="0"/>
      <w:spacing w:before="0" w:after="57"/>
    </w:pPr>
  </w:style>
  <w:style w:type="paragraph" w:styleId="877">
    <w:name w:val="toc 5"/>
    <w:basedOn w:val="780"/>
    <w:uiPriority w:val="39"/>
    <w:unhideWhenUsed/>
    <w:pPr>
      <w:ind w:left="1134" w:right="0" w:firstLine="0"/>
      <w:spacing w:before="0" w:after="57"/>
    </w:pPr>
  </w:style>
  <w:style w:type="paragraph" w:styleId="878">
    <w:name w:val="toc 6"/>
    <w:basedOn w:val="780"/>
    <w:uiPriority w:val="39"/>
    <w:unhideWhenUsed/>
    <w:pPr>
      <w:ind w:left="1417" w:right="0" w:firstLine="0"/>
      <w:spacing w:before="0" w:after="57"/>
    </w:pPr>
  </w:style>
  <w:style w:type="paragraph" w:styleId="879">
    <w:name w:val="toc 7"/>
    <w:basedOn w:val="780"/>
    <w:uiPriority w:val="39"/>
    <w:unhideWhenUsed/>
    <w:pPr>
      <w:ind w:left="1701" w:right="0" w:firstLine="0"/>
      <w:spacing w:before="0" w:after="57"/>
    </w:pPr>
  </w:style>
  <w:style w:type="paragraph" w:styleId="880">
    <w:name w:val="toc 8"/>
    <w:basedOn w:val="780"/>
    <w:uiPriority w:val="39"/>
    <w:unhideWhenUsed/>
    <w:pPr>
      <w:ind w:left="1984" w:right="0" w:firstLine="0"/>
      <w:spacing w:before="0" w:after="57"/>
    </w:pPr>
  </w:style>
  <w:style w:type="paragraph" w:styleId="881">
    <w:name w:val="toc 9"/>
    <w:basedOn w:val="780"/>
    <w:uiPriority w:val="39"/>
    <w:unhideWhenUsed/>
    <w:pPr>
      <w:ind w:left="2268" w:right="0" w:firstLine="0"/>
      <w:spacing w:before="0" w:after="57"/>
    </w:pPr>
  </w:style>
  <w:style w:type="paragraph" w:styleId="882">
    <w:name w:val="Index Heading"/>
    <w:basedOn w:val="857"/>
  </w:style>
  <w:style w:type="paragraph" w:styleId="883">
    <w:name w:val="TOC Heading"/>
    <w:uiPriority w:val="39"/>
    <w:unhideWhenUsed/>
    <w:pPr>
      <w:jc w:val="left"/>
      <w:spacing w:before="0" w:after="0"/>
      <w:widowControl/>
    </w:pPr>
    <w:rPr>
      <w:rFonts w:ascii="Times New Roman" w:hAnsi="Times New Roman" w:eastAsia="NSimSun" w:cs="Mangal"/>
      <w:color w:val="auto"/>
      <w:sz w:val="20"/>
      <w:szCs w:val="20"/>
      <w:lang w:val="ru-RU" w:eastAsia="zh-CN" w:bidi="hi-IN"/>
    </w:rPr>
  </w:style>
  <w:style w:type="paragraph" w:styleId="884">
    <w:name w:val="table of figures"/>
    <w:basedOn w:val="780"/>
    <w:uiPriority w:val="99"/>
    <w:unhideWhenUsed/>
    <w:qFormat/>
    <w:pPr>
      <w:spacing w:before="0" w:after="0" w:afterAutospacing="0"/>
    </w:pPr>
  </w:style>
  <w:style w:type="paragraph" w:styleId="885">
    <w:name w:val="Название4"/>
    <w:basedOn w:val="780"/>
    <w:qFormat/>
    <w:pPr>
      <w:spacing w:before="120" w:after="120"/>
      <w:suppressLineNumbers/>
    </w:pPr>
    <w:rPr>
      <w:rFonts w:ascii="Arial" w:hAnsi="Arial" w:cs="Tahoma"/>
      <w:i/>
      <w:iCs/>
      <w:sz w:val="20"/>
      <w:szCs w:val="24"/>
    </w:rPr>
  </w:style>
  <w:style w:type="paragraph" w:styleId="886">
    <w:name w:val="Указатель4"/>
    <w:basedOn w:val="780"/>
    <w:qFormat/>
    <w:pPr>
      <w:suppressLineNumbers/>
    </w:pPr>
    <w:rPr>
      <w:rFonts w:ascii="Arial" w:hAnsi="Arial" w:cs="Tahoma"/>
    </w:rPr>
  </w:style>
  <w:style w:type="paragraph" w:styleId="887">
    <w:name w:val="Название3"/>
    <w:basedOn w:val="780"/>
    <w:qFormat/>
    <w:pPr>
      <w:spacing w:before="120" w:after="120"/>
      <w:suppressLineNumbers/>
    </w:pPr>
    <w:rPr>
      <w:rFonts w:ascii="Arial" w:hAnsi="Arial" w:cs="Tahoma"/>
      <w:i/>
      <w:iCs/>
      <w:sz w:val="20"/>
      <w:szCs w:val="24"/>
    </w:rPr>
  </w:style>
  <w:style w:type="paragraph" w:styleId="888">
    <w:name w:val="Указатель3"/>
    <w:basedOn w:val="780"/>
    <w:qFormat/>
    <w:pPr>
      <w:suppressLineNumbers/>
    </w:pPr>
    <w:rPr>
      <w:rFonts w:ascii="Arial" w:hAnsi="Arial" w:cs="Tahoma"/>
    </w:rPr>
  </w:style>
  <w:style w:type="paragraph" w:styleId="889">
    <w:name w:val="Название2"/>
    <w:basedOn w:val="780"/>
    <w:qFormat/>
    <w:pPr>
      <w:spacing w:before="120" w:after="120"/>
      <w:suppressLineNumbers/>
    </w:pPr>
    <w:rPr>
      <w:rFonts w:ascii="Arial" w:hAnsi="Arial" w:cs="Tahoma"/>
      <w:i/>
      <w:iCs/>
      <w:sz w:val="20"/>
      <w:szCs w:val="24"/>
    </w:rPr>
  </w:style>
  <w:style w:type="paragraph" w:styleId="890">
    <w:name w:val="Указатель2"/>
    <w:basedOn w:val="780"/>
    <w:qFormat/>
    <w:pPr>
      <w:suppressLineNumbers/>
    </w:pPr>
    <w:rPr>
      <w:rFonts w:ascii="Arial" w:hAnsi="Arial" w:cs="Tahoma"/>
    </w:rPr>
  </w:style>
  <w:style w:type="paragraph" w:styleId="891">
    <w:name w:val="Название1"/>
    <w:basedOn w:val="780"/>
    <w:qFormat/>
    <w:pPr>
      <w:spacing w:before="120" w:after="120"/>
      <w:suppressLineNumbers/>
    </w:pPr>
    <w:rPr>
      <w:rFonts w:cs="Tahoma"/>
      <w:i/>
      <w:iCs/>
      <w:sz w:val="20"/>
      <w:szCs w:val="24"/>
    </w:rPr>
  </w:style>
  <w:style w:type="paragraph" w:styleId="892">
    <w:name w:val="Указатель1"/>
    <w:basedOn w:val="780"/>
    <w:qFormat/>
    <w:pPr>
      <w:suppressLineNumbers/>
    </w:pPr>
    <w:rPr>
      <w:rFonts w:cs="Tahoma"/>
    </w:rPr>
  </w:style>
  <w:style w:type="paragraph" w:styleId="893">
    <w:name w:val="Текст выноски"/>
    <w:basedOn w:val="780"/>
    <w:qFormat/>
    <w:rPr>
      <w:rFonts w:ascii="Tahoma" w:hAnsi="Tahoma" w:cs="Tahoma"/>
      <w:sz w:val="16"/>
      <w:szCs w:val="16"/>
    </w:rPr>
  </w:style>
  <w:style w:type="paragraph" w:styleId="894">
    <w:name w:val="Содержимое таблицы"/>
    <w:basedOn w:val="780"/>
    <w:qFormat/>
    <w:pPr>
      <w:suppressLineNumbers/>
    </w:pPr>
  </w:style>
  <w:style w:type="paragraph" w:styleId="895">
    <w:name w:val="Заголовок таблицы"/>
    <w:basedOn w:val="894"/>
    <w:qFormat/>
    <w:pPr>
      <w:jc w:val="center"/>
      <w:suppressLineNumbers/>
    </w:pPr>
    <w:rPr>
      <w:b/>
      <w:bCs/>
    </w:rPr>
  </w:style>
  <w:style w:type="paragraph" w:styleId="896">
    <w:name w:val="Стандартный"/>
    <w:basedOn w:val="780"/>
    <w:qFormat/>
    <w:pPr>
      <w:ind w:left="0" w:right="0" w:firstLine="851"/>
      <w:jc w:val="both"/>
      <w:widowControl/>
    </w:pPr>
    <w:rPr>
      <w:rFonts w:ascii="Times New Roman" w:hAnsi="Times New Roman" w:cs="Times New Roman"/>
      <w:sz w:val="26"/>
      <w:szCs w:val="24"/>
    </w:rPr>
  </w:style>
  <w:style w:type="paragraph" w:styleId="897">
    <w:name w:val="Заголовок постановления"/>
    <w:basedOn w:val="780"/>
    <w:qFormat/>
    <w:pPr>
      <w:ind w:left="0" w:right="4820" w:firstLine="0"/>
      <w:jc w:val="both"/>
      <w:spacing w:before="0" w:after="360"/>
      <w:widowControl/>
    </w:pPr>
    <w:rPr>
      <w:rFonts w:ascii="Times New Roman" w:hAnsi="Times New Roman" w:cs="Times New Roman"/>
      <w:sz w:val="26"/>
      <w:szCs w:val="26"/>
    </w:rPr>
  </w:style>
  <w:style w:type="paragraph" w:styleId="898">
    <w:name w:val="ConsPlusNormal"/>
    <w:qFormat/>
    <w:pPr>
      <w:ind w:left="0" w:right="0" w:firstLine="720"/>
      <w:jc w:val="left"/>
      <w:spacing w:before="0" w:after="0"/>
      <w:widowControl w:val="off"/>
    </w:pPr>
    <w:rPr>
      <w:rFonts w:ascii="Arial" w:hAnsi="Arial" w:eastAsia="Arial" w:cs="Arial"/>
      <w:color w:val="auto"/>
      <w:sz w:val="20"/>
      <w:szCs w:val="20"/>
      <w:lang w:val="ru-RU" w:eastAsia="zh-CN" w:bidi="ar-SA"/>
    </w:rPr>
  </w:style>
  <w:style w:type="paragraph" w:styleId="899">
    <w:name w:val="ConsPlusNonformat"/>
    <w:qFormat/>
    <w:pPr>
      <w:jc w:val="left"/>
      <w:spacing w:before="0" w:after="0"/>
      <w:widowControl w:val="off"/>
    </w:pPr>
    <w:rPr>
      <w:rFonts w:ascii="Courier New" w:hAnsi="Courier New" w:eastAsia="Arial" w:cs="Courier New"/>
      <w:color w:val="auto"/>
      <w:sz w:val="20"/>
      <w:szCs w:val="20"/>
      <w:lang w:val="ru-RU" w:eastAsia="zh-CN" w:bidi="ar-SA"/>
    </w:rPr>
  </w:style>
  <w:style w:type="paragraph" w:styleId="900">
    <w:name w:val="ConsPlusTitle"/>
    <w:qFormat/>
    <w:pPr>
      <w:jc w:val="left"/>
      <w:spacing w:before="0" w:after="0"/>
      <w:widowControl w:val="off"/>
    </w:pPr>
    <w:rPr>
      <w:rFonts w:ascii="Calibri" w:hAnsi="Calibri" w:eastAsia="Arial" w:cs="Calibri"/>
      <w:b/>
      <w:bCs/>
      <w:color w:val="auto"/>
      <w:sz w:val="22"/>
      <w:szCs w:val="22"/>
      <w:lang w:val="ru-RU" w:eastAsia="zh-CN" w:bidi="ar-SA"/>
    </w:rPr>
  </w:style>
  <w:style w:type="paragraph" w:styleId="901">
    <w:name w:val="Содержимое врезки"/>
    <w:basedOn w:val="858"/>
    <w:qFormat/>
  </w:style>
  <w:style w:type="paragraph" w:styleId="902" w:customStyle="1">
    <w:name w:val="Решение"/>
    <w:qFormat/>
    <w:pPr>
      <w:ind w:left="0" w:right="0" w:firstLine="709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6"/>
      <w:u w:val="none"/>
      <w:vertAlign w:val="baseline"/>
      <w:lang w:val="ru-RU" w:eastAsia="ru-RU" w:bidi="ar-SA"/>
      <w14:ligatures w14:val="none"/>
    </w:rPr>
  </w:style>
  <w:style w:type="paragraph" w:styleId="903" w:customStyle="1">
    <w:name w:val="Текст в заданном формате"/>
    <w:basedOn w:val="780"/>
    <w:qFormat/>
    <w:pPr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</w:pPr>
    <w:rPr>
      <w:rFonts w:ascii="Liberation Mono" w:hAnsi="Liberation Mono" w:eastAsia="NSimSun" w:cs="Liberation Mono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u w:val="none"/>
      <w:vertAlign w:val="baseline"/>
      <w:lang w:val="ru-RU" w:eastAsia="zh-CN" w:bidi="ar-SA"/>
      <w14:ligatures w14:val="none"/>
    </w:rPr>
  </w:style>
  <w:style w:type="numbering" w:styleId="904" w:default="1">
    <w:name w:val="No List"/>
    <w:uiPriority w:val="99"/>
    <w:semiHidden/>
    <w:unhideWhenUsed/>
    <w:qFormat/>
  </w:style>
  <w:style w:type="table" w:styleId="905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dc:description/>
  <dc:language>ru-RU</dc:language>
  <cp:lastModifiedBy>SkobelkinaSS</cp:lastModifiedBy>
  <cp:revision>158</cp:revision>
  <dcterms:created xsi:type="dcterms:W3CDTF">2022-07-08T08:33:00Z</dcterms:created>
  <dcterms:modified xsi:type="dcterms:W3CDTF">2026-01-27T12:03:16Z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