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10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 марта 2026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44:27:050405:150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Костромская, в районе дома 111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         отношений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февраля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44:27:050405:150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44:27:050405:150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30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                в районе дома 111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2026-02-26T07:23:30Z</dcterms:modified>
</cp:coreProperties>
</file>