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«7» ию</w:t>
      </w:r>
      <w:r>
        <w:rPr>
          <w:rFonts w:ascii="Times New Roman" w:hAnsi="Times New Roman" w:cs="Times New Roman"/>
          <w:i/>
          <w:sz w:val="26"/>
          <w:szCs w:val="26"/>
        </w:rPr>
        <w:t xml:space="preserve">л</w:t>
      </w:r>
      <w:r>
        <w:rPr>
          <w:rFonts w:ascii="Times New Roman" w:hAnsi="Times New Roman" w:cs="Times New Roman"/>
          <w:i/>
          <w:sz w:val="26"/>
          <w:szCs w:val="26"/>
        </w:rPr>
        <w:t xml:space="preserve">я 2026 года № 56</w:t>
      </w:r>
      <w:r/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5"/>
        <w:gridCol w:w="1402"/>
        <w:gridCol w:w="589"/>
        <w:gridCol w:w="290"/>
      </w:tblGrid>
      <w:tr>
        <w:tblPrEx/>
        <w:trPr>
          <w:trHeight w:val="731"/>
        </w:trPr>
        <w:tc>
          <w:tcPr>
            <w:gridSpan w:val="6"/>
            <w:tcW w:w="9347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highlight w:val="none"/>
                <w:shd w:val="clear" w:color="auto" w:fill="ffffff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tcW w:w="290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ff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47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ff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ffffff"/>
              </w:rPr>
              <w:t xml:space="preserve">ПОСТАНОВЛЕНИЕ</w: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tcW w:w="290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435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  <w:t xml:space="preserve">№</w: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290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47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  <w:tc>
          <w:tcPr>
            <w:tcW w:w="290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ff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ffffff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44:27:050601:3256,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имеющего местоположение: Костромская область,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zh-CN" w:bidi="ar-SA"/>
              </w:rPr>
              <w:t xml:space="preserve">город Кострома, территория ГСК 149, бокс 80</w:t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  <w:shd w:val="clear" w:color="auto" w:fill="ffffff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ffffff"/>
              </w:rPr>
            </w:r>
          </w:p>
        </w:tc>
      </w:tr>
    </w:tbl>
    <w:p>
      <w:pPr>
        <w:pStyle w:val="617"/>
        <w:ind w:firstLine="708"/>
        <w:jc w:val="both"/>
        <w:widowControl w:val="off"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На основании заявления гражданина от 30 июня 2026 года № 47-УРВ-2026, 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bidi="ar-SA"/>
        </w:rPr>
        <w:t xml:space="preserve">на условно разрешенный вид использов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ания земельного участка или объекта                   капитального строительства с кадастровым 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мером 44:27:050601:3256,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имеющего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местоположение: Костромская область, город Кострома, территория ГСК 149,                   бокс 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с учетом заключения о результатах публичных слушаний, рекомендаций                 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 Правил землепользования и застройки                              города Костромы, руководствуясь частью 2 статьи 37, статьей 42, частью 1 статьи 57 Устава города Костромы,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eastAsia="ru-RU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строительства с кадастровым           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44:27:050601:3256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 площадью 42 квадратных метров,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меющего               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территория ГСК 149,                   бокс 80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, - «размещение гаражей для собственных нужд», 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ru-RU" w:bidi="ar-SA"/>
        </w:rPr>
        <w:t xml:space="preserve">установленный для                   территориальной зоны -  многофункциональной общественно-деловой зоны Д-1.</w:t>
      </w:r>
      <w:r>
        <w:rPr>
          <w:highlight w:val="none"/>
          <w:shd w:val="clear" w:color="auto" w:fill="ffffff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shd w:val="clear" w:color="auto" w:fill="ffffff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highlight w:val="none"/>
          <w:shd w:val="clear" w:color="auto" w:fill="ffffff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ffffff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210</cp:revision>
  <dcterms:created xsi:type="dcterms:W3CDTF">2022-07-08T08:33:00Z</dcterms:created>
  <dcterms:modified xsi:type="dcterms:W3CDTF">2026-07-20T12:29:38Z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