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«21» января 2026 года № 5  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"/>
        <w:gridCol w:w="2557"/>
        <w:gridCol w:w="4081"/>
        <w:gridCol w:w="440"/>
        <w:gridCol w:w="1991"/>
        <w:gridCol w:w="2"/>
        <w:gridCol w:w="283"/>
      </w:tblGrid>
      <w:tr>
        <w:tblPrEx/>
        <w:trPr>
          <w:trHeight w:val="731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283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5"/>
            <w:tcW w:w="90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ного строи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 на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44:27:050554:302,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имеющем местоположение: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город Кострома, </w:t>
              <w:br/>
              <w:t xml:space="preserve">улица Костромская, 61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15 января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-ОПП-2026, в соответствии со статьей 40 Градостроительного кодекса                 Российской Федерации, протоколом п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убличных слушаний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44:27:050554:302, имеющем             местоположение: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 Кострома, улица Костромская, 61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заключения о результатах публичных слушаний, рекомендаций Комиссии                          по подготовке прое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44:27:050554:302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</w:t>
        <w:br/>
        <w:t xml:space="preserve">площадью 2 440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квадратных метров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имеющем местоположение: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 Кострома, улица Костромская, 61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минимальный отступ                  от границы земельного участка 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А </w:t>
        <w:br/>
        <w:t xml:space="preserve">до точки В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2,06 м,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в целях строительства магазина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</w:t>
        <w:br/>
        <w:t xml:space="preserve">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157</cp:revision>
  <dcterms:created xsi:type="dcterms:W3CDTF">2022-07-08T08:33:00Z</dcterms:created>
  <dcterms:modified xsi:type="dcterms:W3CDTF">2026-01-27T12:03:45Z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