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right"/>
        <w:widowControl/>
        <w:rPr>
          <w:rFonts w:ascii="Times New Roman" w:hAnsi="Times New Roman" w:cs="Times New Roman"/>
          <w:i/>
          <w:iCs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lang w:val="ru-RU" w:eastAsia="ar-SA" w:bidi="ar-SA"/>
        </w:rPr>
        <w:t xml:space="preserve">Приложение 2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lang w:val="ru-RU" w:eastAsia="ar-SA" w:bidi="ar-SA"/>
        </w:rPr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14:ligatures w14:val="none"/>
        </w:rPr>
      </w:r>
    </w:p>
    <w:p>
      <w:pPr>
        <w:ind w:firstLine="709"/>
        <w:jc w:val="right"/>
        <w:widowControl/>
        <w:rPr>
          <w:rFonts w:ascii="Times New Roman" w:hAnsi="Times New Roman" w:cs="Times New Roman"/>
          <w:i/>
          <w:iCs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lang w:val="ru-RU" w:eastAsia="ar-SA" w:bidi="ar-SA"/>
        </w:rPr>
        <w:t xml:space="preserve">       к постановлению Главы города Костромы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lang w:val="ru-RU" w:eastAsia="ar-SA" w:bidi="ar-SA"/>
        </w:rPr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14:ligatures w14:val="none"/>
        </w:rPr>
      </w:r>
    </w:p>
    <w:p>
      <w:pPr>
        <w:ind w:firstLine="709"/>
        <w:jc w:val="right"/>
        <w:widowControl/>
        <w:rPr>
          <w:rFonts w:ascii="Times New Roman" w:hAnsi="Times New Roman" w:cs="Times New Roman"/>
          <w:i/>
          <w:iCs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  <w:t xml:space="preserve">от 27 ноября 2024 года № 85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14:ligatures w14:val="none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  <w:shd w:val="clear" w:color="auto" w:fill="auto"/>
        </w:rPr>
      </w:r>
    </w:p>
    <w:p>
      <w:pPr>
        <w:ind w:firstLine="709"/>
        <w:jc w:val="center"/>
        <w:widowControl/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ОПОВЕЩЕНИЕ О НАЧАЛЕ ПУБЛИЧНЫХ СЛУШАНИЙ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Глава города Костромы информирует о назначении публичных слушаний по проектам постановлений Администрации города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о предоставлении разрешений на условно разрешенный вид использования земельных участков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 w:eastAsia="ru-RU" w:bidi="ar-SA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имеющих местопо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ложение в городе Костроме: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территория ГСК 134, бокс 100б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80607:721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     проезд Березовый, ГК 134, бокс 80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80607:749,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проезд Березовый, ГКС № 134, литер Д, бокс № 100с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80607:738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134, бокс 237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80609:1242,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134, бокс 100а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80607:722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780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Проекты постановлений Администрации города Костромы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о предоставлении разрешений на условно разрешенный вид использования земельных участков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 w:eastAsia="ru-RU" w:bidi="ar-SA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имеющих местопо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ложение в городе Костроме: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134, бокс 100б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80607:721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     проезд Березовый, ГК 134, бокс 80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80607:749,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проезд Березовый, ГКС № 134, литер Д, бокс № 100с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80607:738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134, бокс 237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80609:1242,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134, бокс 100а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80607:722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являются приложениями к постановлению Главы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города Костромы.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Собрание участников публичных слушаний состоится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17 декабря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 2024 года               с 16.40 до 17.30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 часов в здании по адресу: Российская Федерация, Костромская область, городской округ город Кострома, город Кострома, площадь Конституции, дом 2, 3 этаж, кабинет 306.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Организатор публичных слушаний - Комиссия по под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готовке проекта Правил землепользования и застройки города Костромы (адрес: Российская Федерация, Костромская область, городской округ город Кострома, город Кострома,                  площадь Конституции, дом 2, телефон (4942) 42 66 81, электронный адрес: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en-US"/>
        </w:rPr>
        <w:t xml:space="preserve">SkobelkinaSS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@gradkostroma.ru).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Экспозиция проектов проводится в здании по адресу: Российская Федерация, Костромская область, городской округ город Кострома, город Кострома,                    площадь Конституции, дом 2, 4 этаж, кабинет 416, с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9 декабря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 по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17 декабр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я                     2024 года ежедневно в будние дни с 9-00 до 13-00 и с 14-00 до 18-00 часов. Посещение экспозиции проекта, а также консультирование проводятся во вторник и четверг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10 и 12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декабря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 2024 года с 16.00 по 18.00 часов, а также по телефону (4942) 42 66 81.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780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П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роекты, п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одлежащие рассмотрению на публичных слушаниях, и информационные материалы к ним (при наличии) будут размещены на официальном сайте Администрации города Костромы в информационно-телекоммуникационной сети "Интернет" по адресу: https://grad.kostroma.gov.ru с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9 декабря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2024 года. 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780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Участники публичных слушаний в целях идентификации представляют сведения о себе (фамилию, имя, отчество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780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780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законом                         от 27 июля 2006 года № 152-ФЗ «О персональных данных».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780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Участники публичных слушаний, представившие указанные сведения о себе, имеют право вносить предложения и замечания, касающиеся рассматриваемого проекта: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780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1) в письменной форме или в форме электронного документа в адрес организатора публичных слушаний с 9 декабря по 17 декабря 2024 года;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780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2) посредством записи в книге (журнале) учета посетителей экспозиции проекта, подлежащего рассмотрению на публичных слушаниях, в будние дни                      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с 9 декабря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по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17 декабря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2024 года с 9-00 до 13-00 и с 14-00 до 18-00 часов в здании по адресу: Российская Федерация, Костромская область, городской округ                        город Кострома, город Кострома, площадь Конституции, 2, 4 этаж, кабинет 416;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780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3) в устной и письменной форме в ходе проведения собрания участников публичных слушаний.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color w:val="000000"/>
          <w:sz w:val="21"/>
          <w:szCs w:val="21"/>
          <w14:ligatures w14:val="none"/>
        </w:rPr>
      </w:pPr>
      <w:r>
        <w:rPr>
          <w:rFonts w:ascii="Times New Roman" w:hAnsi="Times New Roman" w:cs="Times New Roman"/>
          <w:color w:val="000000"/>
          <w:sz w:val="21"/>
          <w:szCs w:val="21"/>
          <w14:ligatures w14:val="none"/>
        </w:rPr>
      </w:r>
      <w:r>
        <w:rPr>
          <w:rFonts w:ascii="Times New Roman" w:hAnsi="Times New Roman" w:cs="Times New Roman"/>
          <w:color w:val="000000"/>
          <w:sz w:val="21"/>
          <w:szCs w:val="21"/>
          <w14:ligatures w14:val="none"/>
        </w:rPr>
      </w:r>
      <w:r>
        <w:rPr>
          <w:rFonts w:ascii="Times New Roman" w:hAnsi="Times New Roman" w:cs="Times New Roman"/>
          <w:color w:val="000000"/>
          <w:sz w:val="21"/>
          <w:szCs w:val="21"/>
          <w14:ligatures w14:val="none"/>
        </w:rPr>
      </w:r>
    </w:p>
    <w:p>
      <w:pPr>
        <w:pStyle w:val="780"/>
        <w:ind w:firstLine="709"/>
        <w:jc w:val="both"/>
        <w:widowControl/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  <w14:ligatures w14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  <w14:ligatures w14:val="none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  <w14:ligatures w14:val="none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  <w14:ligatures w14:val="none"/>
        </w:rPr>
      </w:r>
    </w:p>
    <w:p>
      <w:pPr>
        <w:pStyle w:val="780"/>
        <w:ind w:firstLine="709"/>
        <w:jc w:val="both"/>
        <w:widowControl/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  <w14:ligatures w14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  <w14:ligatures w14:val="none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  <w14:ligatures w14:val="none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  <w14:ligatures w14:val="none"/>
        </w:rPr>
      </w:r>
    </w:p>
    <w:sectPr>
      <w:footnotePr/>
      <w:endnotePr/>
      <w:type w:val="nextPage"/>
      <w:pgSz w:w="11906" w:h="16838" w:orient="portrait"/>
      <w:pgMar w:top="709" w:right="567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Mangal">
    <w:panose1 w:val="02040503050203030202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ebe03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43c0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3fdba" w:themeFill="accent1" w:themeFillTint="34"/>
    </w:tblPr>
    <w:tblStylePr w:type="band1Horz">
      <w:tcPr>
        <w:shd w:val="clear" w:color="ffffff" w:themeColor="accent1" w:themeTint="75" w:fill="79fb64" w:themeFill="accent1" w:themeFillTint="75"/>
      </w:tcPr>
    </w:tblStylePr>
    <w:tblStylePr w:type="band1Vert">
      <w:tcPr>
        <w:shd w:val="clear" w:color="ffffff" w:themeColor="accent1" w:themeTint="75" w:fill="79fb6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bce7fd" w:themeFill="accent2" w:themeFillTint="32"/>
    </w:tblPr>
    <w:tblStylePr w:type="band1Horz">
      <w:tcPr>
        <w:shd w:val="clear" w:color="ffffff" w:themeColor="accent2" w:themeTint="75" w:fill="64c8fb" w:themeFill="accent2" w:themeFillTint="75"/>
      </w:tcPr>
    </w:tblStylePr>
    <w:tblStylePr w:type="band1Vert">
      <w:tcPr>
        <w:shd w:val="clear" w:color="ffffff" w:themeColor="accent2" w:themeTint="75" w:fill="64c8fb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dd2ba" w:themeFill="accent3" w:themeFillTint="34"/>
    </w:tblPr>
    <w:tblStylePr w:type="band1Horz">
      <w:tcPr>
        <w:shd w:val="clear" w:color="ffffff" w:themeColor="accent3" w:themeTint="75" w:fill="fb9964" w:themeFill="accent3" w:themeFillTint="75"/>
      </w:tcPr>
    </w:tblStylePr>
    <w:tblStylePr w:type="band1Vert">
      <w:tcPr>
        <w:shd w:val="clear" w:color="ffffff" w:themeColor="accent3" w:themeTint="75" w:fill="fb9964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3bafd" w:themeFill="accent4" w:themeFillTint="34"/>
    </w:tblPr>
    <w:tblStylePr w:type="band1Horz">
      <w:tcPr>
        <w:shd w:val="clear" w:color="ffffff" w:themeColor="accent4" w:themeTint="75" w:fill="e464fb" w:themeFill="accent4" w:themeFillTint="75"/>
      </w:tcPr>
    </w:tblStylePr>
    <w:tblStylePr w:type="band1Vert">
      <w:tcPr>
        <w:shd w:val="clear" w:color="ffffff" w:themeColor="accent4" w:themeTint="75" w:fill="e464fb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fefbf" w:themeFill="accent5" w:themeFillTint="34"/>
    </w:tblPr>
    <w:tblStylePr w:type="band1Horz">
      <w:tcPr>
        <w:shd w:val="clear" w:color="ffffff" w:themeColor="accent5" w:themeTint="75" w:fill="ffdb71" w:themeFill="accent5" w:themeFillTint="75"/>
      </w:tcPr>
    </w:tblStylePr>
    <w:tblStylePr w:type="band1Vert">
      <w:tcPr>
        <w:shd w:val="clear" w:color="ffffff" w:themeColor="accent5" w:themeTint="75" w:fill="ffdb71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7cccc" w:themeFill="accent6" w:themeFillTint="34"/>
    </w:tblPr>
    <w:tblStylePr w:type="band1Horz">
      <w:tcPr>
        <w:shd w:val="clear" w:color="ffffff" w:themeColor="accent6" w:themeTint="75" w:fill="ee8f8f" w:themeFill="accent6" w:themeFillTint="75"/>
      </w:tcPr>
    </w:tblStylePr>
    <w:tblStylePr w:type="band1Vert">
      <w:tcPr>
        <w:shd w:val="clear" w:color="ffffff" w:themeColor="accent6" w:themeTint="75" w:fill="ee8f8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ebf04" w:themeColor="accent1" w:themeTint="80" w:themeShade="95"/>
      </w:rPr>
    </w:tblStylePr>
    <w:tblStylePr w:type="firstRow">
      <w:rPr>
        <w:b/>
        <w:color w:val="1ebf0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ebf04" w:themeColor="accent1" w:themeTint="80" w:themeShade="95"/>
      </w:rPr>
    </w:tblStylePr>
    <w:tblStylePr w:type="lastRow">
      <w:rPr>
        <w:b/>
        <w:color w:val="1ebf0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e2201" w:themeColor="accent3" w:themeTint="FE" w:themeShade="95"/>
      </w:rPr>
    </w:tblStylePr>
    <w:tblStylePr w:type="firstRow">
      <w:rPr>
        <w:b/>
        <w:color w:val="5e2201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e2201" w:themeColor="accent3" w:themeTint="FE" w:themeShade="95"/>
      </w:rPr>
    </w:tblStylePr>
    <w:tblStylePr w:type="lastRow">
      <w:rPr>
        <w:b/>
        <w:color w:val="5e2201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ebf04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1ebf04" w:themeColor="accent1" w:themeTint="80" w:themeShade="95"/>
        <w:sz w:val="22"/>
      </w:rPr>
    </w:tblStylePr>
    <w:tblStylePr w:type="firstCol">
      <w:rPr>
        <w:rFonts w:ascii="Arial" w:hAnsi="Arial"/>
        <w:i/>
        <w:color w:val="1ebf04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ebf04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e2201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5e2201" w:themeColor="accent3" w:themeTint="FE" w:themeShade="95"/>
        <w:sz w:val="22"/>
      </w:rPr>
    </w:tblStylePr>
    <w:tblStylePr w:type="firstCol">
      <w:rPr>
        <w:rFonts w:ascii="Arial" w:hAnsi="Arial"/>
        <w:i/>
        <w:color w:val="5e2201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2201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74570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745700" w:themeColor="accent5" w:themeShade="95"/>
        <w:sz w:val="22"/>
      </w:rPr>
    </w:tblStylePr>
    <w:tblStylePr w:type="firstCol">
      <w:rPr>
        <w:rFonts w:ascii="Arial" w:hAnsi="Arial"/>
        <w:i/>
        <w:color w:val="745700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45700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741111" w:themeColor="accent6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741111" w:themeColor="accent6" w:themeShade="95"/>
        <w:sz w:val="22"/>
      </w:rPr>
    </w:tblStylePr>
    <w:tblStylePr w:type="firstCol">
      <w:rPr>
        <w:rFonts w:ascii="Arial" w:hAnsi="Arial"/>
        <w:i/>
        <w:color w:val="741111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41111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fa7a35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ffd042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e96e6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8a303" w:themeFill="accent1"/>
    </w:tblPr>
    <w:tblStylePr w:type="band1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36b8fb" w:themeFill="accent2" w:themeFillTint="97"/>
    </w:tblPr>
    <w:tblStylePr w:type="band1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36b8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fa7a35" w:themeFill="accent3" w:themeFillTint="98"/>
    </w:tblPr>
    <w:tblStylePr w:type="band1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fa7a35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fa7a35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dc33fa" w:themeFill="accent4" w:themeFillTint="9A"/>
    </w:tblPr>
    <w:tblStylePr w:type="band1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dc33fa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ffd042" w:themeFill="accent5" w:themeFillTint="9A"/>
    </w:tblPr>
    <w:tblStylePr w:type="band1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ffd042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ffd042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96e6e" w:themeFill="accent6" w:themeFillTint="98"/>
    </w:tblPr>
    <w:tblStylePr w:type="band1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e96e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e96e6e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e5e01" w:themeColor="accent1" w:themeShade="95"/>
      </w:rPr>
    </w:tblStylePr>
    <w:tblStylePr w:type="firstRow">
      <w:rPr>
        <w:b/>
        <w:color w:val="0e5e0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e01" w:themeColor="accent1" w:themeShade="95"/>
      </w:rPr>
    </w:tblStylePr>
    <w:tblStylePr w:type="lastRow">
      <w:rPr>
        <w:b/>
        <w:color w:val="0e5e0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ab3b04" w:themeColor="accent3" w:themeTint="98" w:themeShade="95"/>
      </w:rPr>
    </w:tblStylePr>
    <w:tblStylePr w:type="firstRow">
      <w:rPr>
        <w:b/>
        <w:color w:val="ab3b04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ab3b04" w:themeColor="accent3" w:themeTint="98" w:themeShade="95"/>
      </w:rPr>
    </w:tblStylePr>
    <w:tblStylePr w:type="lastRow">
      <w:rPr>
        <w:b/>
        <w:color w:val="ab3b04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ba8700" w:themeColor="accent5" w:themeTint="9A" w:themeShade="95"/>
      </w:rPr>
    </w:tblStylePr>
    <w:tblStylePr w:type="firstRow">
      <w:rPr>
        <w:b/>
        <w:color w:val="ba870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ba8700" w:themeColor="accent5" w:themeTint="9A" w:themeShade="95"/>
      </w:rPr>
    </w:tblStylePr>
    <w:tblStylePr w:type="lastRow">
      <w:rPr>
        <w:b/>
        <w:color w:val="ba870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ad1a1a" w:themeColor="accent6" w:themeTint="98" w:themeShade="95"/>
      </w:rPr>
    </w:tblStylePr>
    <w:tblStylePr w:type="firstRow">
      <w:rPr>
        <w:b/>
        <w:color w:val="ad1a1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ad1a1a" w:themeColor="accent6" w:themeTint="98" w:themeShade="95"/>
      </w:rPr>
    </w:tblStylePr>
    <w:tblStylePr w:type="lastRow">
      <w:rPr>
        <w:b/>
        <w:color w:val="ad1a1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e5e01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0e5e01" w:themeColor="accent1" w:themeShade="95"/>
        <w:sz w:val="22"/>
      </w:rPr>
    </w:tblStylePr>
    <w:tblStylePr w:type="firstCol">
      <w:rPr>
        <w:rFonts w:ascii="Arial" w:hAnsi="Arial"/>
        <w:i/>
        <w:color w:val="0e5e0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e5e0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0e5e01" w:themeColor="accent1" w:themeShade="95"/>
        <w:sz w:val="22"/>
      </w:rPr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0378ae" w:themeColor="accent2" w:themeTint="97" w:themeShade="95"/>
        <w:sz w:val="22"/>
      </w:rPr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ab3b04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ab3b04" w:themeColor="accent3" w:themeTint="98" w:themeShade="95"/>
        <w:sz w:val="22"/>
      </w:rPr>
    </w:tblStylePr>
    <w:tblStylePr w:type="firstCol">
      <w:rPr>
        <w:rFonts w:ascii="Arial" w:hAnsi="Arial"/>
        <w:i/>
        <w:color w:val="ab3b04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b3b04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ab3b04" w:themeColor="accent3" w:themeTint="98" w:themeShade="95"/>
        <w:sz w:val="22"/>
      </w:rPr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104ab" w:themeColor="accent4" w:themeTint="9A" w:themeShade="95"/>
        <w:sz w:val="22"/>
      </w:rPr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ba870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ba8700" w:themeColor="accent5" w:themeTint="9A" w:themeShade="95"/>
        <w:sz w:val="22"/>
      </w:rPr>
    </w:tblStylePr>
    <w:tblStylePr w:type="firstCol">
      <w:rPr>
        <w:rFonts w:ascii="Arial" w:hAnsi="Arial"/>
        <w:i/>
        <w:color w:val="ba870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a870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ba8700" w:themeColor="accent5" w:themeTint="9A" w:themeShade="95"/>
        <w:sz w:val="22"/>
      </w:rPr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ad1a1a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ad1a1a" w:themeColor="accent6" w:themeTint="98" w:themeShade="95"/>
        <w:sz w:val="22"/>
      </w:rPr>
    </w:tblStylePr>
    <w:tblStylePr w:type="firstCol">
      <w:rPr>
        <w:rFonts w:ascii="Arial" w:hAnsi="Arial"/>
        <w:i/>
        <w:color w:val="ad1a1a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d1a1a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ad1a1a" w:themeColor="accent6" w:themeTint="98" w:themeShade="95"/>
        <w:sz w:val="22"/>
      </w:rPr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0" w:default="1">
    <w:name w:val="Normal"/>
    <w:qFormat/>
    <w:pPr>
      <w:jc w:val="left"/>
      <w:spacing w:before="0" w:after="0" w:line="240" w:lineRule="auto"/>
      <w:widowControl w:val="off"/>
    </w:pPr>
    <w:rPr>
      <w:rFonts w:ascii="Arial" w:hAnsi="Arial" w:eastAsia="Times New Roman" w:cs="Arial" w:cstheme="minorBidi"/>
      <w:color w:val="auto"/>
      <w:sz w:val="18"/>
      <w:szCs w:val="18"/>
      <w:lang w:val="ru-RU" w:eastAsia="ar-SA" w:bidi="ar-SA"/>
    </w:rPr>
  </w:style>
  <w:style w:type="paragraph" w:styleId="781">
    <w:name w:val="Heading 1"/>
    <w:basedOn w:val="7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2">
    <w:name w:val="Heading 2"/>
    <w:basedOn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3">
    <w:name w:val="Heading 3"/>
    <w:basedOn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4">
    <w:name w:val="Heading 4"/>
    <w:basedOn w:val="7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6">
    <w:name w:val="Heading 6"/>
    <w:basedOn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7">
    <w:name w:val="Heading 7"/>
    <w:basedOn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8">
    <w:name w:val="Heading 8"/>
    <w:basedOn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9">
    <w:name w:val="Heading 9"/>
    <w:basedOn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>
    <w:name w:val="Heading 1 Char"/>
    <w:basedOn w:val="812"/>
    <w:uiPriority w:val="9"/>
    <w:qFormat/>
    <w:rPr>
      <w:rFonts w:ascii="Arial" w:hAnsi="Arial" w:eastAsia="Arial" w:cs="Arial"/>
      <w:sz w:val="40"/>
      <w:szCs w:val="40"/>
    </w:rPr>
  </w:style>
  <w:style w:type="character" w:styleId="791">
    <w:name w:val="Heading 2 Char"/>
    <w:basedOn w:val="812"/>
    <w:uiPriority w:val="9"/>
    <w:qFormat/>
    <w:rPr>
      <w:rFonts w:ascii="Arial" w:hAnsi="Arial" w:eastAsia="Arial" w:cs="Arial"/>
      <w:sz w:val="34"/>
    </w:rPr>
  </w:style>
  <w:style w:type="character" w:styleId="792">
    <w:name w:val="Heading 3 Char"/>
    <w:basedOn w:val="812"/>
    <w:uiPriority w:val="9"/>
    <w:qFormat/>
    <w:rPr>
      <w:rFonts w:ascii="Arial" w:hAnsi="Arial" w:eastAsia="Arial" w:cs="Arial"/>
      <w:sz w:val="30"/>
      <w:szCs w:val="30"/>
    </w:rPr>
  </w:style>
  <w:style w:type="character" w:styleId="793">
    <w:name w:val="Heading 4 Char"/>
    <w:basedOn w:val="81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>
    <w:name w:val="Heading 5 Char"/>
    <w:basedOn w:val="81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>
    <w:name w:val="Heading 6 Char"/>
    <w:basedOn w:val="81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>
    <w:name w:val="Heading 7 Char"/>
    <w:basedOn w:val="81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>
    <w:name w:val="Heading 8 Char"/>
    <w:basedOn w:val="81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>
    <w:name w:val="Heading 9 Char"/>
    <w:basedOn w:val="81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9">
    <w:name w:val="Title Char"/>
    <w:basedOn w:val="812"/>
    <w:uiPriority w:val="10"/>
    <w:qFormat/>
    <w:rPr>
      <w:sz w:val="48"/>
      <w:szCs w:val="48"/>
    </w:rPr>
  </w:style>
  <w:style w:type="character" w:styleId="800">
    <w:name w:val="Subtitle Char"/>
    <w:basedOn w:val="812"/>
    <w:uiPriority w:val="11"/>
    <w:qFormat/>
    <w:rPr>
      <w:sz w:val="24"/>
      <w:szCs w:val="24"/>
    </w:rPr>
  </w:style>
  <w:style w:type="character" w:styleId="801">
    <w:name w:val="Quote Char"/>
    <w:uiPriority w:val="29"/>
    <w:qFormat/>
    <w:rPr>
      <w:i/>
    </w:rPr>
  </w:style>
  <w:style w:type="character" w:styleId="802">
    <w:name w:val="Intense Quote Char"/>
    <w:uiPriority w:val="30"/>
    <w:qFormat/>
    <w:rPr>
      <w:i/>
    </w:rPr>
  </w:style>
  <w:style w:type="character" w:styleId="803">
    <w:name w:val="Header Char"/>
    <w:basedOn w:val="812"/>
    <w:uiPriority w:val="99"/>
    <w:qFormat/>
  </w:style>
  <w:style w:type="character" w:styleId="804">
    <w:name w:val="Footer Char"/>
    <w:basedOn w:val="812"/>
    <w:uiPriority w:val="99"/>
    <w:qFormat/>
  </w:style>
  <w:style w:type="character" w:styleId="805">
    <w:name w:val="Caption Char"/>
    <w:uiPriority w:val="99"/>
    <w:qFormat/>
  </w:style>
  <w:style w:type="character" w:styleId="806">
    <w:name w:val="Footnote Text Char"/>
    <w:uiPriority w:val="99"/>
    <w:qFormat/>
    <w:rPr>
      <w:sz w:val="18"/>
    </w:rPr>
  </w:style>
  <w:style w:type="character" w:styleId="807">
    <w:name w:val="Символ сноски"/>
    <w:uiPriority w:val="99"/>
    <w:unhideWhenUsed/>
    <w:qFormat/>
    <w:rPr>
      <w:vertAlign w:val="superscript"/>
    </w:rPr>
  </w:style>
  <w:style w:type="character" w:styleId="808">
    <w:name w:val="footnote reference"/>
    <w:rPr>
      <w:vertAlign w:val="superscript"/>
    </w:rPr>
  </w:style>
  <w:style w:type="character" w:styleId="809">
    <w:name w:val="Endnote Text Char"/>
    <w:uiPriority w:val="99"/>
    <w:qFormat/>
    <w:rPr>
      <w:sz w:val="20"/>
    </w:rPr>
  </w:style>
  <w:style w:type="character" w:styleId="81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1">
    <w:name w:val="endnote reference"/>
    <w:rPr>
      <w:vertAlign w:val="superscript"/>
    </w:rPr>
  </w:style>
  <w:style w:type="character" w:styleId="812" w:default="1">
    <w:name w:val="Default Paragraph Font"/>
    <w:uiPriority w:val="1"/>
    <w:semiHidden/>
    <w:unhideWhenUsed/>
    <w:qFormat/>
  </w:style>
  <w:style w:type="character" w:styleId="813" w:customStyle="1">
    <w:name w:val="Текст выноски Знак"/>
    <w:basedOn w:val="812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814">
    <w:name w:val="Hyperlink"/>
    <w:basedOn w:val="812"/>
    <w:uiPriority w:val="99"/>
    <w:unhideWhenUsed/>
    <w:rPr>
      <w:color w:val="0563c1" w:themeColor="hyperlink"/>
      <w:u w:val="single"/>
    </w:rPr>
  </w:style>
  <w:style w:type="character" w:styleId="815">
    <w:name w:val="Верхний колонтитул Знак"/>
    <w:basedOn w:val="812"/>
    <w:qFormat/>
    <w:rPr>
      <w:rFonts w:ascii="Arial" w:hAnsi="Arial" w:eastAsia="Times New Roman" w:cs="Arial"/>
      <w:sz w:val="18"/>
      <w:szCs w:val="18"/>
      <w:lang w:eastAsia="ar-SA"/>
    </w:rPr>
  </w:style>
  <w:style w:type="character" w:styleId="816">
    <w:name w:val="Нижний колонтитул Знак"/>
    <w:basedOn w:val="812"/>
    <w:qFormat/>
    <w:rPr>
      <w:rFonts w:ascii="Arial" w:hAnsi="Arial" w:eastAsia="Times New Roman" w:cs="Arial"/>
      <w:sz w:val="18"/>
      <w:szCs w:val="18"/>
      <w:lang w:eastAsia="ar-SA"/>
    </w:rPr>
  </w:style>
  <w:style w:type="character" w:styleId="817">
    <w:name w:val="Основной шрифт абзаца1"/>
    <w:qFormat/>
  </w:style>
  <w:style w:type="character" w:styleId="818">
    <w:name w:val="Основной шрифт абзаца"/>
    <w:qFormat/>
  </w:style>
  <w:style w:type="character" w:styleId="819">
    <w:name w:val="extended-text__short"/>
    <w:basedOn w:val="812"/>
    <w:qFormat/>
  </w:style>
  <w:style w:type="character" w:styleId="820">
    <w:name w:val="Заголовок 5 Знак"/>
    <w:basedOn w:val="812"/>
    <w:qFormat/>
    <w:rPr>
      <w:rFonts w:ascii="Arial" w:hAnsi="Arial" w:eastAsia="Times New Roman" w:cs="Arial"/>
      <w:b/>
      <w:sz w:val="32"/>
      <w:szCs w:val="18"/>
      <w:lang w:val="en-US" w:eastAsia="ar-SA"/>
    </w:rPr>
  </w:style>
  <w:style w:type="paragraph" w:styleId="821">
    <w:name w:val="Заголовок"/>
    <w:basedOn w:val="780"/>
    <w:next w:val="82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822">
    <w:name w:val="Body Text"/>
    <w:basedOn w:val="780"/>
    <w:pPr>
      <w:spacing w:before="0" w:after="140" w:line="276" w:lineRule="auto"/>
    </w:pPr>
  </w:style>
  <w:style w:type="paragraph" w:styleId="823">
    <w:name w:val="List"/>
    <w:basedOn w:val="822"/>
    <w:rPr>
      <w:rFonts w:cs="Mangal"/>
    </w:rPr>
  </w:style>
  <w:style w:type="paragraph" w:styleId="824">
    <w:name w:val="Caption"/>
    <w:basedOn w:val="780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25">
    <w:name w:val="Указатель"/>
    <w:basedOn w:val="780"/>
    <w:qFormat/>
    <w:pPr>
      <w:suppressLineNumbers/>
    </w:pPr>
    <w:rPr>
      <w:rFonts w:cs="Mangal"/>
    </w:rPr>
  </w:style>
  <w:style w:type="paragraph" w:styleId="826">
    <w:name w:val="List Paragraph"/>
    <w:basedOn w:val="780"/>
    <w:uiPriority w:val="34"/>
    <w:qFormat/>
    <w:pPr>
      <w:contextualSpacing/>
      <w:ind w:left="720"/>
      <w:spacing w:before="0" w:after="0"/>
    </w:pPr>
  </w:style>
  <w:style w:type="paragraph" w:styleId="827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28">
    <w:name w:val="Title"/>
    <w:basedOn w:val="78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29">
    <w:name w:val="Subtitle"/>
    <w:basedOn w:val="780"/>
    <w:uiPriority w:val="11"/>
    <w:qFormat/>
    <w:pPr>
      <w:spacing w:before="200" w:after="200"/>
    </w:pPr>
    <w:rPr>
      <w:sz w:val="24"/>
      <w:szCs w:val="24"/>
    </w:rPr>
  </w:style>
  <w:style w:type="paragraph" w:styleId="830">
    <w:name w:val="Quote"/>
    <w:basedOn w:val="780"/>
    <w:uiPriority w:val="29"/>
    <w:qFormat/>
    <w:pPr>
      <w:ind w:left="720" w:right="720"/>
    </w:pPr>
    <w:rPr>
      <w:i/>
    </w:rPr>
  </w:style>
  <w:style w:type="paragraph" w:styleId="831">
    <w:name w:val="Intense Quote"/>
    <w:basedOn w:val="780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32">
    <w:name w:val="Колонтитул"/>
    <w:basedOn w:val="780"/>
    <w:qFormat/>
  </w:style>
  <w:style w:type="paragraph" w:styleId="833">
    <w:name w:val="Header"/>
    <w:basedOn w:val="780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34">
    <w:name w:val="Footer"/>
    <w:basedOn w:val="780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35">
    <w:name w:val="footnote text"/>
    <w:basedOn w:val="78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36">
    <w:name w:val="endnote text"/>
    <w:basedOn w:val="78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37">
    <w:name w:val="toc 1"/>
    <w:basedOn w:val="780"/>
    <w:uiPriority w:val="39"/>
    <w:unhideWhenUsed/>
    <w:pPr>
      <w:ind w:left="0" w:right="0" w:firstLine="0"/>
      <w:spacing w:before="0" w:after="57"/>
    </w:pPr>
  </w:style>
  <w:style w:type="paragraph" w:styleId="838">
    <w:name w:val="toc 2"/>
    <w:basedOn w:val="780"/>
    <w:uiPriority w:val="39"/>
    <w:unhideWhenUsed/>
    <w:pPr>
      <w:ind w:left="283" w:right="0" w:firstLine="0"/>
      <w:spacing w:before="0" w:after="57"/>
    </w:pPr>
  </w:style>
  <w:style w:type="paragraph" w:styleId="839">
    <w:name w:val="toc 3"/>
    <w:basedOn w:val="780"/>
    <w:uiPriority w:val="39"/>
    <w:unhideWhenUsed/>
    <w:pPr>
      <w:ind w:left="567" w:right="0" w:firstLine="0"/>
      <w:spacing w:before="0" w:after="57"/>
    </w:pPr>
  </w:style>
  <w:style w:type="paragraph" w:styleId="840">
    <w:name w:val="toc 4"/>
    <w:basedOn w:val="780"/>
    <w:uiPriority w:val="39"/>
    <w:unhideWhenUsed/>
    <w:pPr>
      <w:ind w:left="850" w:right="0" w:firstLine="0"/>
      <w:spacing w:before="0" w:after="57"/>
    </w:pPr>
  </w:style>
  <w:style w:type="paragraph" w:styleId="841">
    <w:name w:val="toc 5"/>
    <w:basedOn w:val="780"/>
    <w:uiPriority w:val="39"/>
    <w:unhideWhenUsed/>
    <w:pPr>
      <w:ind w:left="1134" w:right="0" w:firstLine="0"/>
      <w:spacing w:before="0" w:after="57"/>
    </w:pPr>
  </w:style>
  <w:style w:type="paragraph" w:styleId="842">
    <w:name w:val="toc 6"/>
    <w:basedOn w:val="780"/>
    <w:uiPriority w:val="39"/>
    <w:unhideWhenUsed/>
    <w:pPr>
      <w:ind w:left="1417" w:right="0" w:firstLine="0"/>
      <w:spacing w:before="0" w:after="57"/>
    </w:pPr>
  </w:style>
  <w:style w:type="paragraph" w:styleId="843">
    <w:name w:val="toc 7"/>
    <w:basedOn w:val="780"/>
    <w:uiPriority w:val="39"/>
    <w:unhideWhenUsed/>
    <w:pPr>
      <w:ind w:left="1701" w:right="0" w:firstLine="0"/>
      <w:spacing w:before="0" w:after="57"/>
    </w:pPr>
  </w:style>
  <w:style w:type="paragraph" w:styleId="844">
    <w:name w:val="toc 8"/>
    <w:basedOn w:val="780"/>
    <w:uiPriority w:val="39"/>
    <w:unhideWhenUsed/>
    <w:pPr>
      <w:ind w:left="1984" w:right="0" w:firstLine="0"/>
      <w:spacing w:before="0" w:after="57"/>
    </w:pPr>
  </w:style>
  <w:style w:type="paragraph" w:styleId="845">
    <w:name w:val="toc 9"/>
    <w:basedOn w:val="780"/>
    <w:uiPriority w:val="39"/>
    <w:unhideWhenUsed/>
    <w:pPr>
      <w:ind w:left="2268" w:right="0" w:firstLine="0"/>
      <w:spacing w:before="0" w:after="57"/>
    </w:pPr>
  </w:style>
  <w:style w:type="paragraph" w:styleId="846">
    <w:name w:val="Index Heading"/>
    <w:basedOn w:val="821"/>
  </w:style>
  <w:style w:type="paragraph" w:styleId="847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48">
    <w:name w:val="table of figures"/>
    <w:basedOn w:val="780"/>
    <w:uiPriority w:val="99"/>
    <w:unhideWhenUsed/>
    <w:pPr>
      <w:spacing w:before="0" w:after="0" w:afterAutospacing="0"/>
    </w:pPr>
  </w:style>
  <w:style w:type="paragraph" w:styleId="849">
    <w:name w:val="Balloon Text"/>
    <w:basedOn w:val="780"/>
    <w:uiPriority w:val="99"/>
    <w:semiHidden/>
    <w:unhideWhenUsed/>
    <w:qFormat/>
    <w:rPr>
      <w:rFonts w:ascii="Segoe UI" w:hAnsi="Segoe UI" w:cs="Segoe UI"/>
    </w:rPr>
  </w:style>
  <w:style w:type="paragraph" w:styleId="850">
    <w:name w:val="Стопслово"/>
    <w:basedOn w:val="780"/>
    <w:qFormat/>
    <w:pPr>
      <w:ind w:firstLine="709"/>
      <w:spacing w:before="240" w:after="240"/>
      <w:widowControl/>
    </w:pPr>
    <w:rPr>
      <w:rFonts w:ascii="Times New Roman" w:hAnsi="Times New Roman" w:cs="Times New Roman"/>
      <w:spacing w:val="60"/>
      <w:sz w:val="26"/>
      <w:szCs w:val="26"/>
      <w:lang w:eastAsia="ru-RU"/>
    </w:rPr>
  </w:style>
  <w:style w:type="paragraph" w:styleId="851">
    <w:name w:val="Подпись_гл"/>
    <w:basedOn w:val="780"/>
    <w:qFormat/>
    <w:pPr>
      <w:jc w:val="both"/>
      <w:spacing w:before="920" w:after="0"/>
      <w:widowControl/>
      <w:tabs>
        <w:tab w:val="clear" w:pos="708" w:leader="none"/>
        <w:tab w:val="left" w:pos="7371" w:leader="none"/>
      </w:tabs>
    </w:pPr>
    <w:rPr>
      <w:rFonts w:ascii="Times New Roman" w:hAnsi="Times New Roman" w:cs="Times New Roman"/>
      <w:sz w:val="26"/>
      <w:szCs w:val="24"/>
      <w:lang w:eastAsia="ru-RU"/>
    </w:rPr>
  </w:style>
  <w:style w:type="paragraph" w:styleId="852">
    <w:name w:val="Решение"/>
    <w:basedOn w:val="780"/>
    <w:qFormat/>
    <w:pPr>
      <w:ind w:firstLine="709"/>
      <w:jc w:val="both"/>
      <w:widowControl/>
    </w:pPr>
    <w:rPr>
      <w:rFonts w:ascii="Times New Roman" w:hAnsi="Times New Roman" w:cs="Times New Roman"/>
      <w:sz w:val="26"/>
      <w:szCs w:val="26"/>
      <w:lang w:eastAsia="ru-RU"/>
    </w:rPr>
  </w:style>
  <w:style w:type="paragraph" w:styleId="853">
    <w:name w:val="Текст выноски"/>
    <w:basedOn w:val="780"/>
    <w:qFormat/>
    <w:rPr>
      <w:rFonts w:ascii="Tahoma" w:hAnsi="Tahoma" w:cs="Tahoma"/>
      <w:sz w:val="16"/>
      <w:szCs w:val="16"/>
    </w:rPr>
  </w:style>
  <w:style w:type="paragraph" w:styleId="854">
    <w:name w:val="Содержимое врезки"/>
    <w:basedOn w:val="822"/>
    <w:qFormat/>
  </w:style>
  <w:style w:type="paragraph" w:styleId="855">
    <w:name w:val="Содержимое таблицы"/>
    <w:basedOn w:val="780"/>
    <w:qFormat/>
    <w:pPr>
      <w:widowControl w:val="off"/>
      <w:suppressLineNumbers/>
    </w:pPr>
  </w:style>
  <w:style w:type="paragraph" w:styleId="856">
    <w:name w:val="Заголовок таблицы"/>
    <w:basedOn w:val="855"/>
    <w:qFormat/>
    <w:pPr>
      <w:jc w:val="center"/>
      <w:suppressLineNumbers/>
    </w:pPr>
    <w:rPr>
      <w:b/>
      <w:bCs/>
    </w:rPr>
  </w:style>
  <w:style w:type="paragraph" w:styleId="857">
    <w:name w:val="Указатель1"/>
    <w:basedOn w:val="780"/>
    <w:qFormat/>
    <w:pPr>
      <w:suppressLineNumbers/>
    </w:pPr>
    <w:rPr>
      <w:rFonts w:ascii="Arial" w:hAnsi="Arial" w:cs="Tahoma"/>
    </w:rPr>
  </w:style>
  <w:style w:type="paragraph" w:styleId="858">
    <w:name w:val="Название1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59">
    <w:name w:val="Caption1"/>
    <w:basedOn w:val="780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numbering" w:styleId="860" w:default="1">
    <w:name w:val="No List"/>
    <w:uiPriority w:val="99"/>
    <w:semiHidden/>
    <w:unhideWhenUsed/>
    <w:qFormat/>
  </w:style>
  <w:style w:type="table" w:styleId="86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revision>168</cp:revision>
  <dcterms:created xsi:type="dcterms:W3CDTF">2022-07-08T08:05:00Z</dcterms:created>
  <dcterms:modified xsi:type="dcterms:W3CDTF">2024-12-02T07:06:10Z</dcterms:modified>
</cp:coreProperties>
</file>