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3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3"/>
        <w:gridCol w:w="4080"/>
        <w:gridCol w:w="442"/>
        <w:gridCol w:w="1395"/>
        <w:gridCol w:w="596"/>
        <w:gridCol w:w="283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 строительства на земельном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 кадастровым номер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44:27:09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0801:67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имеющем местоположение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Костромская область, город Кострома,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улица Солониковская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, 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явления 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бщества с ограниченной ответственностью               «Концерн медведь производственный участок № 7»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от 22 мая 2025 года                                 № 13-ОПП-2025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в соответствии со статьей 40 Градостроительного кодекса Российской Федерации, протоко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лом публичных слушаний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предельных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реконструкции об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ъектов капитального строительства на земельном участке с кадастровым номеро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44:27:09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0801:67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имеющем местоположение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улица Солониковская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с учетом заключения о рез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ультатах публичных слушаний, рекомендаций Комиссии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по подготовке проекта Правил землепользования и застройки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96"/>
        <w:ind w:left="0" w:right="0" w:firstLine="709"/>
        <w:spacing w:before="360" w:after="360"/>
        <w:rPr>
          <w:highlight w:val="none"/>
          <w:shd w:val="clear" w:color="auto" w:fill="auto"/>
        </w:rPr>
      </w:pPr>
      <w:r>
        <w:rPr>
          <w:spacing w:val="40"/>
          <w:szCs w:val="26"/>
          <w:shd w:val="clear" w:color="auto" w:fill="auto"/>
        </w:rPr>
        <w:t xml:space="preserve">ПОСТАНОВЛЯ</w:t>
      </w:r>
      <w:r>
        <w:rPr>
          <w:szCs w:val="26"/>
          <w:shd w:val="clear" w:color="auto" w:fill="auto"/>
        </w:rPr>
        <w:t xml:space="preserve">Ю: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редоставить разрешение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44:27:09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0801:67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площадью 66202 квадратных метра,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имеющем местоположение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                         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улица Солониковская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ановив минимальные 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тступы от границ земельного участка с северо-западной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auto"/>
          <w:lang w:val="ru-RU" w:bidi="ar-SA"/>
        </w:rPr>
        <w:t xml:space="preserve">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auto"/>
          <w:lang w:val="ru-RU" w:bidi="ar-SA"/>
        </w:rPr>
        <w:t xml:space="preserve">ороны от точки А до точки Б - 1,0 м</w:t>
      </w: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auto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с юго-западной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auto"/>
          <w:lang w:val="ru-RU" w:bidi="ar-SA"/>
        </w:rPr>
        <w:t xml:space="preserve">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auto"/>
          <w:lang w:val="ru-RU" w:bidi="ar-SA"/>
        </w:rPr>
        <w:t xml:space="preserve">ороны от точки Б до точки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auto"/>
          <w:lang w:val="ru-RU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auto"/>
          <w:lang w:val="ru-RU" w:bidi="ar-SA"/>
        </w:rPr>
        <w:t xml:space="preserve"> - 0,4 м,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с северо-западной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auto"/>
          <w:lang w:val="ru-RU" w:bidi="ar-SA"/>
        </w:rPr>
        <w:t xml:space="preserve">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auto"/>
          <w:lang w:val="ru-RU" w:bidi="ar-SA"/>
        </w:rPr>
        <w:t xml:space="preserve">ороны от точки В до точки Г - 1,0 м, </w:t>
      </w: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auto"/>
        </w:rPr>
        <w:t xml:space="preserve">в целях реконструкции объекта незавершенного строительством (административно-бытовой корпус со столовой) под административно-бытовое здание (объект делового управления), согласно прил</w:t>
      </w: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auto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жению к настоящему постановлению.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link w:val="805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142</cp:revision>
  <dcterms:created xsi:type="dcterms:W3CDTF">2022-07-08T08:33:00Z</dcterms:created>
  <dcterms:modified xsi:type="dcterms:W3CDTF">2025-05-23T06:19:41Z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